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DDC3" w14:textId="1CFBDAF8" w:rsidR="005F53FB" w:rsidRPr="000E158D" w:rsidRDefault="000E158D">
      <w:pPr>
        <w:rPr>
          <w:rFonts w:cstheme="minorHAnsi"/>
          <w:b/>
          <w:sz w:val="24"/>
          <w:szCs w:val="24"/>
        </w:rPr>
      </w:pPr>
      <w:r w:rsidRPr="000E158D">
        <w:rPr>
          <w:rFonts w:cstheme="minorHAnsi"/>
          <w:b/>
          <w:sz w:val="24"/>
          <w:szCs w:val="24"/>
        </w:rPr>
        <w:t>L’AFFIRMATION DE LA « NOMENCLATURE DINTILHAC » EN MATIERE D’ACCIDENT DU TRAVAIL</w:t>
      </w:r>
    </w:p>
    <w:p w14:paraId="3E309E02" w14:textId="7D6DC7B3" w:rsidR="000E158D" w:rsidRDefault="00E84870">
      <w:pPr>
        <w:rPr>
          <w:rFonts w:cstheme="minorHAnsi"/>
          <w:b/>
          <w:sz w:val="24"/>
          <w:szCs w:val="24"/>
        </w:rPr>
      </w:pPr>
      <w:r w:rsidRPr="000E158D">
        <w:rPr>
          <w:rFonts w:cstheme="minorHAnsi"/>
          <w:b/>
          <w:sz w:val="24"/>
          <w:szCs w:val="24"/>
        </w:rPr>
        <w:t xml:space="preserve">Benoît </w:t>
      </w:r>
      <w:r w:rsidR="000E158D" w:rsidRPr="000E158D">
        <w:rPr>
          <w:rFonts w:cstheme="minorHAnsi"/>
          <w:b/>
          <w:sz w:val="24"/>
          <w:szCs w:val="24"/>
        </w:rPr>
        <w:t xml:space="preserve">GENIAUT </w:t>
      </w:r>
    </w:p>
    <w:p w14:paraId="6963692A" w14:textId="050C2694" w:rsidR="00E84870" w:rsidRPr="000E158D" w:rsidRDefault="00E84870">
      <w:pPr>
        <w:rPr>
          <w:rFonts w:cstheme="minorHAnsi"/>
          <w:b/>
          <w:sz w:val="24"/>
          <w:szCs w:val="24"/>
        </w:rPr>
      </w:pPr>
      <w:r w:rsidRPr="000E158D">
        <w:rPr>
          <w:rFonts w:cstheme="minorHAnsi"/>
          <w:b/>
          <w:sz w:val="24"/>
          <w:szCs w:val="24"/>
        </w:rPr>
        <w:t>JAC n° 127, sept 2012</w:t>
      </w:r>
    </w:p>
    <w:p w14:paraId="25C65CAE" w14:textId="77777777" w:rsidR="00B01DAF" w:rsidRPr="000E158D" w:rsidRDefault="00B01DAF" w:rsidP="00614910">
      <w:pPr>
        <w:jc w:val="both"/>
        <w:rPr>
          <w:rFonts w:cstheme="minorHAnsi"/>
          <w:i/>
          <w:sz w:val="24"/>
          <w:szCs w:val="24"/>
        </w:rPr>
      </w:pPr>
      <w:r w:rsidRPr="000E158D">
        <w:rPr>
          <w:rFonts w:cstheme="minorHAnsi"/>
          <w:i/>
          <w:sz w:val="24"/>
          <w:szCs w:val="24"/>
        </w:rPr>
        <w:t xml:space="preserve">La « nomenclature </w:t>
      </w:r>
      <w:r w:rsidR="005F5CC0" w:rsidRPr="000E158D">
        <w:rPr>
          <w:rFonts w:cstheme="minorHAnsi"/>
          <w:i/>
          <w:sz w:val="24"/>
          <w:szCs w:val="24"/>
        </w:rPr>
        <w:t>Dintilhac</w:t>
      </w:r>
      <w:r w:rsidRPr="000E158D">
        <w:rPr>
          <w:rFonts w:cstheme="minorHAnsi"/>
          <w:i/>
          <w:sz w:val="24"/>
          <w:szCs w:val="24"/>
        </w:rPr>
        <w:t xml:space="preserve"> » gagne du terrain en matière d’accident du travail, inspirant de plus en plus les arrêts de la Cour de cassation quant à l’identification des postes de préjudices qui sont couverts par les prestations de sécurité sociale ou dont la victime peut réclamer l’indemnisation en cas de faute inexcusable de l’employeur. </w:t>
      </w:r>
    </w:p>
    <w:p w14:paraId="45DE52AE" w14:textId="77777777" w:rsidR="00B077B1" w:rsidRPr="000E158D" w:rsidRDefault="00EE5105" w:rsidP="00614910">
      <w:pPr>
        <w:jc w:val="both"/>
        <w:rPr>
          <w:rFonts w:cstheme="minorHAnsi"/>
          <w:sz w:val="24"/>
          <w:szCs w:val="24"/>
        </w:rPr>
      </w:pPr>
      <w:r w:rsidRPr="000E158D">
        <w:rPr>
          <w:rFonts w:cstheme="minorHAnsi"/>
          <w:sz w:val="24"/>
          <w:szCs w:val="24"/>
        </w:rPr>
        <w:t xml:space="preserve">Le code de la sécurité sociale organise une réparation des victimes d’accidents du travail dérogatoire au droit commun de la responsabilité. Reprenant le compromis historique réalisé par la loi du 9 avril 1898, le livre IV </w:t>
      </w:r>
      <w:r w:rsidR="00614910" w:rsidRPr="000E158D">
        <w:rPr>
          <w:rFonts w:cstheme="minorHAnsi"/>
          <w:sz w:val="24"/>
          <w:szCs w:val="24"/>
        </w:rPr>
        <w:t xml:space="preserve">de ce code assure une </w:t>
      </w:r>
      <w:r w:rsidRPr="000E158D">
        <w:rPr>
          <w:rFonts w:cstheme="minorHAnsi"/>
          <w:sz w:val="24"/>
          <w:szCs w:val="24"/>
        </w:rPr>
        <w:t xml:space="preserve">réparation automatique </w:t>
      </w:r>
      <w:r w:rsidR="00614910" w:rsidRPr="000E158D">
        <w:rPr>
          <w:rFonts w:cstheme="minorHAnsi"/>
          <w:sz w:val="24"/>
          <w:szCs w:val="24"/>
        </w:rPr>
        <w:t xml:space="preserve">et forfaitaire </w:t>
      </w:r>
      <w:r w:rsidR="00972B0C" w:rsidRPr="000E158D">
        <w:rPr>
          <w:rFonts w:cstheme="minorHAnsi"/>
          <w:sz w:val="24"/>
          <w:szCs w:val="24"/>
        </w:rPr>
        <w:t>pour</w:t>
      </w:r>
      <w:r w:rsidR="00614910" w:rsidRPr="000E158D">
        <w:rPr>
          <w:rFonts w:cstheme="minorHAnsi"/>
          <w:sz w:val="24"/>
          <w:szCs w:val="24"/>
        </w:rPr>
        <w:t xml:space="preserve"> la victime</w:t>
      </w:r>
      <w:r w:rsidR="00CF20EF" w:rsidRPr="000E158D">
        <w:rPr>
          <w:rFonts w:cstheme="minorHAnsi"/>
          <w:sz w:val="24"/>
          <w:szCs w:val="24"/>
        </w:rPr>
        <w:t>, à la charge des</w:t>
      </w:r>
      <w:r w:rsidR="00972B0C" w:rsidRPr="000E158D">
        <w:rPr>
          <w:rFonts w:cstheme="minorHAnsi"/>
          <w:sz w:val="24"/>
          <w:szCs w:val="24"/>
        </w:rPr>
        <w:t xml:space="preserve"> organismes de sécurité sociale. En contrepartie, les employeurs financent cette protection par des cotisations spécifiques tout en bénéficiant d’une</w:t>
      </w:r>
      <w:r w:rsidR="00614910" w:rsidRPr="000E158D">
        <w:rPr>
          <w:rFonts w:cstheme="minorHAnsi"/>
          <w:sz w:val="24"/>
          <w:szCs w:val="24"/>
        </w:rPr>
        <w:t xml:space="preserve"> immunité</w:t>
      </w:r>
      <w:r w:rsidR="00972B0C" w:rsidRPr="000E158D">
        <w:rPr>
          <w:rFonts w:cstheme="minorHAnsi"/>
          <w:sz w:val="24"/>
          <w:szCs w:val="24"/>
        </w:rPr>
        <w:t xml:space="preserve"> civile – leur responsabilité civile ne pouvant être recherchée par leurs salariés</w:t>
      </w:r>
      <w:r w:rsidR="00614910" w:rsidRPr="000E158D">
        <w:rPr>
          <w:rFonts w:cstheme="minorHAnsi"/>
          <w:sz w:val="24"/>
          <w:szCs w:val="24"/>
        </w:rPr>
        <w:t xml:space="preserve">. </w:t>
      </w:r>
      <w:r w:rsidR="00B077B1" w:rsidRPr="000E158D">
        <w:rPr>
          <w:rFonts w:cstheme="minorHAnsi"/>
          <w:sz w:val="24"/>
          <w:szCs w:val="24"/>
        </w:rPr>
        <w:t>Avant consolidation, l’assuré social a droit à une prise en charge</w:t>
      </w:r>
      <w:r w:rsidR="00972B0C" w:rsidRPr="000E158D">
        <w:rPr>
          <w:rFonts w:cstheme="minorHAnsi"/>
          <w:sz w:val="24"/>
          <w:szCs w:val="24"/>
        </w:rPr>
        <w:t xml:space="preserve"> intégrale de s</w:t>
      </w:r>
      <w:r w:rsidR="00B077B1" w:rsidRPr="000E158D">
        <w:rPr>
          <w:rFonts w:cstheme="minorHAnsi"/>
          <w:sz w:val="24"/>
          <w:szCs w:val="24"/>
        </w:rPr>
        <w:t xml:space="preserve">es dépenses de </w:t>
      </w:r>
      <w:r w:rsidR="00CF20EF" w:rsidRPr="000E158D">
        <w:rPr>
          <w:rFonts w:cstheme="minorHAnsi"/>
          <w:sz w:val="24"/>
          <w:szCs w:val="24"/>
        </w:rPr>
        <w:t>santé</w:t>
      </w:r>
      <w:r w:rsidR="00B077B1" w:rsidRPr="000E158D">
        <w:rPr>
          <w:rFonts w:cstheme="minorHAnsi"/>
          <w:sz w:val="24"/>
          <w:szCs w:val="24"/>
        </w:rPr>
        <w:t xml:space="preserve">. Outre ces prestations en nature, il perçoit également une compensation de sa perte de revenus sous forme d’indemnités journalières. Après consolidation, une indemnité en capital ou une rente lui est servi en cas d’incapacité </w:t>
      </w:r>
      <w:r w:rsidR="00CF20EF" w:rsidRPr="000E158D">
        <w:rPr>
          <w:rFonts w:cstheme="minorHAnsi"/>
          <w:sz w:val="24"/>
          <w:szCs w:val="24"/>
        </w:rPr>
        <w:t xml:space="preserve">permanente </w:t>
      </w:r>
      <w:r w:rsidR="00B077B1" w:rsidRPr="000E158D">
        <w:rPr>
          <w:rFonts w:cstheme="minorHAnsi"/>
          <w:sz w:val="24"/>
          <w:szCs w:val="24"/>
        </w:rPr>
        <w:t xml:space="preserve">de travail. </w:t>
      </w:r>
      <w:r w:rsidR="00CF20EF" w:rsidRPr="000E158D">
        <w:rPr>
          <w:rFonts w:cstheme="minorHAnsi"/>
          <w:sz w:val="24"/>
          <w:szCs w:val="24"/>
        </w:rPr>
        <w:t>Ce n’est qu’en cas de faute intentionnelle de l’employeur que le droit commun retrouve à s’appliquer. Si l’accident du travail est dû à la</w:t>
      </w:r>
      <w:r w:rsidR="00B077B1" w:rsidRPr="000E158D">
        <w:rPr>
          <w:rFonts w:cstheme="minorHAnsi"/>
          <w:sz w:val="24"/>
          <w:szCs w:val="24"/>
        </w:rPr>
        <w:t xml:space="preserve"> faute inexcusable de l’employeur, </w:t>
      </w:r>
      <w:r w:rsidR="00972B0C" w:rsidRPr="000E158D">
        <w:rPr>
          <w:rFonts w:cstheme="minorHAnsi"/>
          <w:sz w:val="24"/>
          <w:szCs w:val="24"/>
        </w:rPr>
        <w:t>la victime</w:t>
      </w:r>
      <w:r w:rsidR="00B077B1" w:rsidRPr="000E158D">
        <w:rPr>
          <w:rFonts w:cstheme="minorHAnsi"/>
          <w:sz w:val="24"/>
          <w:szCs w:val="24"/>
        </w:rPr>
        <w:t xml:space="preserve"> peut </w:t>
      </w:r>
      <w:r w:rsidR="00CF20EF" w:rsidRPr="000E158D">
        <w:rPr>
          <w:rFonts w:cstheme="minorHAnsi"/>
          <w:sz w:val="24"/>
          <w:szCs w:val="24"/>
        </w:rPr>
        <w:t xml:space="preserve">toutefois </w:t>
      </w:r>
      <w:r w:rsidR="00B077B1" w:rsidRPr="000E158D">
        <w:rPr>
          <w:rFonts w:cstheme="minorHAnsi"/>
          <w:sz w:val="24"/>
          <w:szCs w:val="24"/>
        </w:rPr>
        <w:t xml:space="preserve">prétendre à une majoration de cette indemnité ou rente </w:t>
      </w:r>
      <w:r w:rsidR="005F53FB" w:rsidRPr="000E158D">
        <w:rPr>
          <w:rFonts w:cstheme="minorHAnsi"/>
          <w:sz w:val="24"/>
          <w:szCs w:val="24"/>
        </w:rPr>
        <w:t>(art.</w:t>
      </w:r>
      <w:r w:rsidR="00CF20EF" w:rsidRPr="000E158D">
        <w:rPr>
          <w:rFonts w:cstheme="minorHAnsi"/>
          <w:sz w:val="24"/>
          <w:szCs w:val="24"/>
        </w:rPr>
        <w:t xml:space="preserve"> L. 452-2 C. sécu. soc.) </w:t>
      </w:r>
      <w:r w:rsidR="00B077B1" w:rsidRPr="000E158D">
        <w:rPr>
          <w:rFonts w:cstheme="minorHAnsi"/>
          <w:sz w:val="24"/>
          <w:szCs w:val="24"/>
        </w:rPr>
        <w:t xml:space="preserve">ainsi qu’à une prise en charge de préjudices </w:t>
      </w:r>
      <w:r w:rsidR="00392C96" w:rsidRPr="000E158D">
        <w:rPr>
          <w:rFonts w:cstheme="minorHAnsi"/>
          <w:sz w:val="24"/>
          <w:szCs w:val="24"/>
        </w:rPr>
        <w:t xml:space="preserve">non couverts, à savoir : « la réparation du préjudice causé par les souffrances physiques et morales par elle endurées, de ses préjudices esthétiques et d'agrément ainsi que celle du préjudice résultant de la perte ou de la diminution de ses possibilités de promotion professionnelle» (art. L. 452-3 </w:t>
      </w:r>
      <w:r w:rsidR="00CF20EF" w:rsidRPr="000E158D">
        <w:rPr>
          <w:rFonts w:cstheme="minorHAnsi"/>
          <w:sz w:val="24"/>
          <w:szCs w:val="24"/>
        </w:rPr>
        <w:t>C. sécu. soc.</w:t>
      </w:r>
      <w:r w:rsidR="00392C96" w:rsidRPr="000E158D">
        <w:rPr>
          <w:rFonts w:cstheme="minorHAnsi"/>
          <w:sz w:val="24"/>
          <w:szCs w:val="24"/>
        </w:rPr>
        <w:t xml:space="preserve">). </w:t>
      </w:r>
    </w:p>
    <w:p w14:paraId="7D16C462" w14:textId="77777777" w:rsidR="00EE5105" w:rsidRPr="000E158D" w:rsidRDefault="00B077B1" w:rsidP="00614910">
      <w:pPr>
        <w:jc w:val="both"/>
        <w:rPr>
          <w:rFonts w:cstheme="minorHAnsi"/>
          <w:sz w:val="24"/>
          <w:szCs w:val="24"/>
        </w:rPr>
      </w:pPr>
      <w:r w:rsidRPr="000E158D">
        <w:rPr>
          <w:rFonts w:cstheme="minorHAnsi"/>
          <w:sz w:val="24"/>
          <w:szCs w:val="24"/>
        </w:rPr>
        <w:t>Ces dispositions font figure</w:t>
      </w:r>
      <w:r w:rsidR="00EE5105" w:rsidRPr="000E158D">
        <w:rPr>
          <w:rFonts w:cstheme="minorHAnsi"/>
          <w:sz w:val="24"/>
          <w:szCs w:val="24"/>
        </w:rPr>
        <w:t xml:space="preserve"> de droit spécial et s’appliquent de manière autonome. Reste que, depuis peu, </w:t>
      </w:r>
      <w:r w:rsidR="00392C96" w:rsidRPr="000E158D">
        <w:rPr>
          <w:rFonts w:cstheme="minorHAnsi"/>
          <w:sz w:val="24"/>
          <w:szCs w:val="24"/>
        </w:rPr>
        <w:t>elles doivent</w:t>
      </w:r>
      <w:r w:rsidR="00EE5105" w:rsidRPr="000E158D">
        <w:rPr>
          <w:rFonts w:cstheme="minorHAnsi"/>
          <w:sz w:val="24"/>
          <w:szCs w:val="24"/>
        </w:rPr>
        <w:t xml:space="preserve"> composer avec deux autres références. </w:t>
      </w:r>
      <w:r w:rsidR="00CF20EF" w:rsidRPr="000E158D">
        <w:rPr>
          <w:rFonts w:cstheme="minorHAnsi"/>
          <w:sz w:val="24"/>
          <w:szCs w:val="24"/>
        </w:rPr>
        <w:t>Par un</w:t>
      </w:r>
      <w:r w:rsidR="00272553" w:rsidRPr="000E158D">
        <w:rPr>
          <w:rFonts w:cstheme="minorHAnsi"/>
          <w:sz w:val="24"/>
          <w:szCs w:val="24"/>
        </w:rPr>
        <w:t>e</w:t>
      </w:r>
      <w:r w:rsidR="00CF20EF" w:rsidRPr="000E158D">
        <w:rPr>
          <w:rFonts w:cstheme="minorHAnsi"/>
          <w:sz w:val="24"/>
          <w:szCs w:val="24"/>
        </w:rPr>
        <w:t xml:space="preserve"> </w:t>
      </w:r>
      <w:r w:rsidR="00272553" w:rsidRPr="000E158D">
        <w:rPr>
          <w:rFonts w:cstheme="minorHAnsi"/>
          <w:sz w:val="24"/>
          <w:szCs w:val="24"/>
        </w:rPr>
        <w:t>combinaison</w:t>
      </w:r>
      <w:r w:rsidR="00CF20EF" w:rsidRPr="000E158D">
        <w:rPr>
          <w:rFonts w:cstheme="minorHAnsi"/>
          <w:sz w:val="24"/>
          <w:szCs w:val="24"/>
        </w:rPr>
        <w:t xml:space="preserve"> de références</w:t>
      </w:r>
      <w:r w:rsidR="005F53FB" w:rsidRPr="000E158D">
        <w:rPr>
          <w:rFonts w:cstheme="minorHAnsi"/>
          <w:sz w:val="24"/>
          <w:szCs w:val="24"/>
        </w:rPr>
        <w:t xml:space="preserve"> (I)</w:t>
      </w:r>
      <w:r w:rsidR="00CF20EF" w:rsidRPr="000E158D">
        <w:rPr>
          <w:rFonts w:cstheme="minorHAnsi"/>
          <w:sz w:val="24"/>
          <w:szCs w:val="24"/>
        </w:rPr>
        <w:t>, la « </w:t>
      </w:r>
      <w:r w:rsidR="005F53FB" w:rsidRPr="000E158D">
        <w:rPr>
          <w:rFonts w:cstheme="minorHAnsi"/>
          <w:sz w:val="24"/>
          <w:szCs w:val="24"/>
        </w:rPr>
        <w:t>n</w:t>
      </w:r>
      <w:r w:rsidR="00CF20EF" w:rsidRPr="000E158D">
        <w:rPr>
          <w:rFonts w:cstheme="minorHAnsi"/>
          <w:sz w:val="24"/>
          <w:szCs w:val="24"/>
        </w:rPr>
        <w:t xml:space="preserve">omenclature </w:t>
      </w:r>
      <w:r w:rsidR="005F5CC0" w:rsidRPr="000E158D">
        <w:rPr>
          <w:rFonts w:cstheme="minorHAnsi"/>
          <w:sz w:val="24"/>
          <w:szCs w:val="24"/>
        </w:rPr>
        <w:t>Dintilhac</w:t>
      </w:r>
      <w:r w:rsidR="00CF20EF" w:rsidRPr="000E158D">
        <w:rPr>
          <w:rFonts w:cstheme="minorHAnsi"/>
          <w:sz w:val="24"/>
          <w:szCs w:val="24"/>
        </w:rPr>
        <w:t> » s’affirme en matière d’accident du travail, ainsi que l’atteste l’émergence d’une autonomie du préjudice sexuel</w:t>
      </w:r>
      <w:r w:rsidR="005F53FB" w:rsidRPr="000E158D">
        <w:rPr>
          <w:rFonts w:cstheme="minorHAnsi"/>
          <w:sz w:val="24"/>
          <w:szCs w:val="24"/>
        </w:rPr>
        <w:t xml:space="preserve"> (II)</w:t>
      </w:r>
      <w:r w:rsidR="00CF20EF" w:rsidRPr="000E158D">
        <w:rPr>
          <w:rFonts w:cstheme="minorHAnsi"/>
          <w:sz w:val="24"/>
          <w:szCs w:val="24"/>
        </w:rPr>
        <w:t xml:space="preserve"> et la </w:t>
      </w:r>
      <w:r w:rsidR="005F53FB" w:rsidRPr="000E158D">
        <w:rPr>
          <w:rFonts w:cstheme="minorHAnsi"/>
          <w:sz w:val="24"/>
          <w:szCs w:val="24"/>
        </w:rPr>
        <w:t>distinction</w:t>
      </w:r>
      <w:r w:rsidR="00CF20EF" w:rsidRPr="000E158D">
        <w:rPr>
          <w:rFonts w:cstheme="minorHAnsi"/>
          <w:sz w:val="24"/>
          <w:szCs w:val="24"/>
        </w:rPr>
        <w:t xml:space="preserve"> en jurisprudence des déficits fonctionnels</w:t>
      </w:r>
      <w:r w:rsidR="005F53FB" w:rsidRPr="000E158D">
        <w:rPr>
          <w:rFonts w:cstheme="minorHAnsi"/>
          <w:sz w:val="24"/>
          <w:szCs w:val="24"/>
        </w:rPr>
        <w:t xml:space="preserve"> temporaire</w:t>
      </w:r>
      <w:r w:rsidR="00272553" w:rsidRPr="000E158D">
        <w:rPr>
          <w:rFonts w:cstheme="minorHAnsi"/>
          <w:sz w:val="24"/>
          <w:szCs w:val="24"/>
        </w:rPr>
        <w:t>s</w:t>
      </w:r>
      <w:r w:rsidR="005F53FB" w:rsidRPr="000E158D">
        <w:rPr>
          <w:rFonts w:cstheme="minorHAnsi"/>
          <w:sz w:val="24"/>
          <w:szCs w:val="24"/>
        </w:rPr>
        <w:t xml:space="preserve"> et permanent</w:t>
      </w:r>
      <w:r w:rsidR="00272553" w:rsidRPr="000E158D">
        <w:rPr>
          <w:rFonts w:cstheme="minorHAnsi"/>
          <w:sz w:val="24"/>
          <w:szCs w:val="24"/>
        </w:rPr>
        <w:t>s</w:t>
      </w:r>
      <w:r w:rsidR="005F53FB" w:rsidRPr="000E158D">
        <w:rPr>
          <w:rFonts w:cstheme="minorHAnsi"/>
          <w:sz w:val="24"/>
          <w:szCs w:val="24"/>
        </w:rPr>
        <w:t xml:space="preserve"> (III)</w:t>
      </w:r>
      <w:r w:rsidR="00CF20EF" w:rsidRPr="000E158D">
        <w:rPr>
          <w:rFonts w:cstheme="minorHAnsi"/>
          <w:sz w:val="24"/>
          <w:szCs w:val="24"/>
        </w:rPr>
        <w:t xml:space="preserve">. </w:t>
      </w:r>
    </w:p>
    <w:p w14:paraId="6D78E85F" w14:textId="21A0A7EE" w:rsidR="00CF20EF" w:rsidRPr="000E158D" w:rsidRDefault="00CF20EF" w:rsidP="000E158D">
      <w:pPr>
        <w:pStyle w:val="Paragraphedeliste"/>
        <w:numPr>
          <w:ilvl w:val="0"/>
          <w:numId w:val="4"/>
        </w:numPr>
        <w:ind w:left="142" w:hanging="153"/>
        <w:jc w:val="both"/>
        <w:rPr>
          <w:rFonts w:cstheme="minorHAnsi"/>
          <w:b/>
          <w:sz w:val="24"/>
          <w:szCs w:val="24"/>
        </w:rPr>
      </w:pPr>
      <w:r w:rsidRPr="000E158D">
        <w:rPr>
          <w:rFonts w:cstheme="minorHAnsi"/>
          <w:b/>
          <w:sz w:val="24"/>
          <w:szCs w:val="24"/>
        </w:rPr>
        <w:t>Combinaison des références</w:t>
      </w:r>
    </w:p>
    <w:p w14:paraId="52777F9E" w14:textId="77777777" w:rsidR="00791563" w:rsidRPr="000E158D" w:rsidRDefault="005F4577" w:rsidP="00A31D06">
      <w:pPr>
        <w:jc w:val="both"/>
        <w:rPr>
          <w:rFonts w:cstheme="minorHAnsi"/>
          <w:sz w:val="24"/>
          <w:szCs w:val="24"/>
        </w:rPr>
      </w:pPr>
      <w:r w:rsidRPr="000E158D">
        <w:rPr>
          <w:rFonts w:cstheme="minorHAnsi"/>
          <w:sz w:val="24"/>
          <w:szCs w:val="24"/>
        </w:rPr>
        <w:t>Rendue sur question prioritaire de constitutionnalité, la décision</w:t>
      </w:r>
      <w:r w:rsidR="00A31D06" w:rsidRPr="000E158D">
        <w:rPr>
          <w:rFonts w:cstheme="minorHAnsi"/>
          <w:sz w:val="24"/>
          <w:szCs w:val="24"/>
        </w:rPr>
        <w:t xml:space="preserve"> QPC</w:t>
      </w:r>
      <w:r w:rsidRPr="000E158D">
        <w:rPr>
          <w:rFonts w:cstheme="minorHAnsi"/>
          <w:sz w:val="24"/>
          <w:szCs w:val="24"/>
        </w:rPr>
        <w:t xml:space="preserve"> n°</w:t>
      </w:r>
      <w:r w:rsidR="00A31D06" w:rsidRPr="000E158D">
        <w:rPr>
          <w:rFonts w:cstheme="minorHAnsi"/>
          <w:sz w:val="24"/>
          <w:szCs w:val="24"/>
        </w:rPr>
        <w:t>2010-8 du 18 juin 2010</w:t>
      </w:r>
      <w:r w:rsidRPr="000E158D">
        <w:rPr>
          <w:rFonts w:cstheme="minorHAnsi"/>
          <w:sz w:val="24"/>
          <w:szCs w:val="24"/>
        </w:rPr>
        <w:t xml:space="preserve"> du Conseil constitutionnel n’a pas remis en cause la validité du système spécifique de réparation des accidents du travail</w:t>
      </w:r>
      <w:r w:rsidR="005F53FB" w:rsidRPr="000E158D">
        <w:rPr>
          <w:rFonts w:cstheme="minorHAnsi"/>
          <w:sz w:val="24"/>
          <w:szCs w:val="24"/>
        </w:rPr>
        <w:t xml:space="preserve"> (</w:t>
      </w:r>
      <w:r w:rsidR="00D34170" w:rsidRPr="000E158D">
        <w:rPr>
          <w:rFonts w:cstheme="minorHAnsi"/>
          <w:i/>
          <w:color w:val="0070C0"/>
          <w:sz w:val="24"/>
          <w:szCs w:val="24"/>
        </w:rPr>
        <w:t>RCA</w:t>
      </w:r>
      <w:r w:rsidR="00D34170" w:rsidRPr="000E158D">
        <w:rPr>
          <w:rFonts w:cstheme="minorHAnsi"/>
          <w:color w:val="0070C0"/>
          <w:sz w:val="24"/>
          <w:szCs w:val="24"/>
        </w:rPr>
        <w:t xml:space="preserve"> 2010. 8, note H. Groutel; </w:t>
      </w:r>
      <w:r w:rsidR="00D34170" w:rsidRPr="000E158D">
        <w:rPr>
          <w:rFonts w:cstheme="minorHAnsi"/>
          <w:i/>
          <w:color w:val="0070C0"/>
          <w:sz w:val="24"/>
          <w:szCs w:val="24"/>
        </w:rPr>
        <w:t>JCP</w:t>
      </w:r>
      <w:r w:rsidR="00D34170" w:rsidRPr="000E158D">
        <w:rPr>
          <w:rFonts w:cstheme="minorHAnsi"/>
          <w:color w:val="0070C0"/>
          <w:sz w:val="24"/>
          <w:szCs w:val="24"/>
        </w:rPr>
        <w:t xml:space="preserve"> 2010. 1015, no 10, obs. Bloch; </w:t>
      </w:r>
      <w:r w:rsidR="00D34170" w:rsidRPr="000E158D">
        <w:rPr>
          <w:rFonts w:cstheme="minorHAnsi"/>
          <w:i/>
          <w:color w:val="0070C0"/>
          <w:sz w:val="24"/>
          <w:szCs w:val="24"/>
        </w:rPr>
        <w:t>Dr. ouvrier</w:t>
      </w:r>
      <w:r w:rsidR="00D34170" w:rsidRPr="000E158D">
        <w:rPr>
          <w:rFonts w:cstheme="minorHAnsi"/>
          <w:color w:val="0070C0"/>
          <w:sz w:val="24"/>
          <w:szCs w:val="24"/>
        </w:rPr>
        <w:t xml:space="preserve"> 2010. 612, obs. F. Guiomard; </w:t>
      </w:r>
      <w:r w:rsidR="00D34170" w:rsidRPr="000E158D">
        <w:rPr>
          <w:rFonts w:cstheme="minorHAnsi"/>
          <w:i/>
          <w:color w:val="0070C0"/>
          <w:sz w:val="24"/>
          <w:szCs w:val="24"/>
        </w:rPr>
        <w:t>D</w:t>
      </w:r>
      <w:r w:rsidR="00D34170" w:rsidRPr="000E158D">
        <w:rPr>
          <w:rFonts w:cstheme="minorHAnsi"/>
          <w:color w:val="0070C0"/>
          <w:sz w:val="24"/>
          <w:szCs w:val="24"/>
        </w:rPr>
        <w:t xml:space="preserve">. 2011. Chron. 459, note Porchy-Simon ; add. P. Sargos, La saga triséculaire de la faute inexcusable, </w:t>
      </w:r>
      <w:r w:rsidR="00D34170" w:rsidRPr="000E158D">
        <w:rPr>
          <w:rFonts w:cstheme="minorHAnsi"/>
          <w:i/>
          <w:color w:val="0070C0"/>
          <w:sz w:val="24"/>
          <w:szCs w:val="24"/>
        </w:rPr>
        <w:t>D</w:t>
      </w:r>
      <w:r w:rsidR="00D34170" w:rsidRPr="000E158D">
        <w:rPr>
          <w:rFonts w:cstheme="minorHAnsi"/>
          <w:color w:val="0070C0"/>
          <w:sz w:val="24"/>
          <w:szCs w:val="24"/>
        </w:rPr>
        <w:t>. 2011. chr. 768</w:t>
      </w:r>
      <w:r w:rsidR="005F53FB" w:rsidRPr="000E158D">
        <w:rPr>
          <w:rFonts w:cstheme="minorHAnsi"/>
          <w:sz w:val="24"/>
          <w:szCs w:val="24"/>
        </w:rPr>
        <w:t>)</w:t>
      </w:r>
      <w:r w:rsidRPr="000E158D">
        <w:rPr>
          <w:rFonts w:cstheme="minorHAnsi"/>
          <w:sz w:val="24"/>
          <w:szCs w:val="24"/>
        </w:rPr>
        <w:t xml:space="preserve">. </w:t>
      </w:r>
      <w:r w:rsidR="00A31D06" w:rsidRPr="000E158D">
        <w:rPr>
          <w:rFonts w:cstheme="minorHAnsi"/>
          <w:sz w:val="24"/>
          <w:szCs w:val="24"/>
        </w:rPr>
        <w:t>Le Conseil</w:t>
      </w:r>
      <w:r w:rsidRPr="000E158D">
        <w:rPr>
          <w:rFonts w:cstheme="minorHAnsi"/>
          <w:sz w:val="24"/>
          <w:szCs w:val="24"/>
        </w:rPr>
        <w:t xml:space="preserve"> a toutefois assortie sa décision d’une réserve d’interprétation à l’égard des dispositions prévoyant une indemnisation complémentaire des victimes et de leur ayant droit en cas de faute inexcusable de l’employeur.</w:t>
      </w:r>
      <w:r w:rsidR="00791563" w:rsidRPr="000E158D">
        <w:rPr>
          <w:rFonts w:cstheme="minorHAnsi"/>
          <w:sz w:val="24"/>
          <w:szCs w:val="24"/>
        </w:rPr>
        <w:t xml:space="preserve"> Dans le considérant 18 de sa décision, il retient que les dispositions de ce texte « </w:t>
      </w:r>
      <w:r w:rsidR="00791563" w:rsidRPr="000E158D">
        <w:rPr>
          <w:rFonts w:cstheme="minorHAnsi"/>
          <w:i/>
          <w:iCs/>
          <w:sz w:val="24"/>
          <w:szCs w:val="24"/>
        </w:rPr>
        <w:t xml:space="preserve">ne sauraient toutefois, </w:t>
      </w:r>
      <w:r w:rsidR="00791563" w:rsidRPr="000E158D">
        <w:rPr>
          <w:rFonts w:cstheme="minorHAnsi"/>
          <w:i/>
          <w:sz w:val="24"/>
          <w:szCs w:val="24"/>
        </w:rPr>
        <w:t>sans porter une atteinte disproportionnée au droit des victimes d'actes fautifs, faire obstacle à ce que ces mêmes personnes, devant les mêmes juridictions, puissent demander à l'employeur réparation de l'ensemble des dommages non couverts par le livre IV du code de la sécurité sociale</w:t>
      </w:r>
      <w:r w:rsidR="00791563" w:rsidRPr="000E158D">
        <w:rPr>
          <w:rFonts w:cstheme="minorHAnsi"/>
          <w:sz w:val="24"/>
          <w:szCs w:val="24"/>
        </w:rPr>
        <w:t xml:space="preserve"> ». </w:t>
      </w:r>
    </w:p>
    <w:p w14:paraId="4D67BB05" w14:textId="77777777" w:rsidR="00A31D06" w:rsidRPr="000E158D" w:rsidRDefault="00A31D06" w:rsidP="00A31D06">
      <w:pPr>
        <w:jc w:val="both"/>
        <w:rPr>
          <w:rFonts w:cstheme="minorHAnsi"/>
          <w:sz w:val="24"/>
          <w:szCs w:val="24"/>
        </w:rPr>
      </w:pPr>
      <w:r w:rsidRPr="000E158D">
        <w:rPr>
          <w:rFonts w:cstheme="minorHAnsi"/>
          <w:sz w:val="24"/>
          <w:szCs w:val="24"/>
        </w:rPr>
        <w:t>Lorsqu’e</w:t>
      </w:r>
      <w:r w:rsidR="0020117B" w:rsidRPr="000E158D">
        <w:rPr>
          <w:rFonts w:cstheme="minorHAnsi"/>
          <w:sz w:val="24"/>
          <w:szCs w:val="24"/>
        </w:rPr>
        <w:t xml:space="preserve">lle s’appuie sur l’article L. 452-3 </w:t>
      </w:r>
      <w:r w:rsidR="005F53FB" w:rsidRPr="000E158D">
        <w:rPr>
          <w:rFonts w:cstheme="minorHAnsi"/>
          <w:sz w:val="24"/>
          <w:szCs w:val="24"/>
        </w:rPr>
        <w:t>C. sécu. soc.</w:t>
      </w:r>
      <w:r w:rsidR="0020117B" w:rsidRPr="000E158D">
        <w:rPr>
          <w:rFonts w:cstheme="minorHAnsi"/>
          <w:sz w:val="24"/>
          <w:szCs w:val="24"/>
        </w:rPr>
        <w:t xml:space="preserve">, la Cour de cassation indique </w:t>
      </w:r>
      <w:r w:rsidR="005F53FB" w:rsidRPr="000E158D">
        <w:rPr>
          <w:rFonts w:cstheme="minorHAnsi"/>
          <w:sz w:val="24"/>
          <w:szCs w:val="24"/>
        </w:rPr>
        <w:t xml:space="preserve">alors </w:t>
      </w:r>
      <w:r w:rsidR="0020117B" w:rsidRPr="000E158D">
        <w:rPr>
          <w:rFonts w:cstheme="minorHAnsi"/>
          <w:sz w:val="24"/>
          <w:szCs w:val="24"/>
        </w:rPr>
        <w:t>qu’elle applique ce texte « </w:t>
      </w:r>
      <w:r w:rsidR="0020117B" w:rsidRPr="000E158D">
        <w:rPr>
          <w:rFonts w:cstheme="minorHAnsi"/>
          <w:i/>
          <w:sz w:val="24"/>
          <w:szCs w:val="24"/>
        </w:rPr>
        <w:t>tel qu’interprété à lumière de la décision</w:t>
      </w:r>
      <w:r w:rsidR="0020117B" w:rsidRPr="000E158D">
        <w:rPr>
          <w:rFonts w:cstheme="minorHAnsi"/>
          <w:sz w:val="24"/>
          <w:szCs w:val="24"/>
        </w:rPr>
        <w:t xml:space="preserve"> » du Conseil constitutionnel. Cette référence, analogue à celle retenue à l’égard des directives européennes, se justifie par </w:t>
      </w:r>
      <w:r w:rsidR="0064714F" w:rsidRPr="000E158D">
        <w:rPr>
          <w:rFonts w:cstheme="minorHAnsi"/>
          <w:sz w:val="24"/>
          <w:szCs w:val="24"/>
        </w:rPr>
        <w:t xml:space="preserve">l’autorité particulière des décisions du Conseil constitutionnel qui, </w:t>
      </w:r>
      <w:r w:rsidR="004830E1" w:rsidRPr="000E158D">
        <w:rPr>
          <w:rFonts w:cstheme="minorHAnsi"/>
          <w:sz w:val="24"/>
          <w:szCs w:val="24"/>
        </w:rPr>
        <w:t>rappelons-</w:t>
      </w:r>
      <w:r w:rsidR="00E70482" w:rsidRPr="000E158D">
        <w:rPr>
          <w:rFonts w:cstheme="minorHAnsi"/>
          <w:sz w:val="24"/>
          <w:szCs w:val="24"/>
        </w:rPr>
        <w:t>le</w:t>
      </w:r>
      <w:r w:rsidR="0064714F" w:rsidRPr="000E158D">
        <w:rPr>
          <w:rFonts w:cstheme="minorHAnsi"/>
          <w:sz w:val="24"/>
          <w:szCs w:val="24"/>
        </w:rPr>
        <w:t>, « </w:t>
      </w:r>
      <w:r w:rsidR="0064714F" w:rsidRPr="000E158D">
        <w:rPr>
          <w:rFonts w:cstheme="minorHAnsi"/>
          <w:i/>
          <w:sz w:val="24"/>
          <w:szCs w:val="24"/>
        </w:rPr>
        <w:t>s’imposent aux pouvoirs publics et à toutes les autorités administratives et juridictionnelles </w:t>
      </w:r>
      <w:r w:rsidR="0064714F" w:rsidRPr="000E158D">
        <w:rPr>
          <w:rFonts w:cstheme="minorHAnsi"/>
          <w:sz w:val="24"/>
          <w:szCs w:val="24"/>
        </w:rPr>
        <w:t>»</w:t>
      </w:r>
      <w:r w:rsidR="00E70482" w:rsidRPr="000E158D">
        <w:rPr>
          <w:rFonts w:cstheme="minorHAnsi"/>
          <w:sz w:val="24"/>
          <w:szCs w:val="24"/>
        </w:rPr>
        <w:t xml:space="preserve"> (art. 62 de la Constitution)</w:t>
      </w:r>
      <w:r w:rsidR="0064714F" w:rsidRPr="000E158D">
        <w:rPr>
          <w:rFonts w:cstheme="minorHAnsi"/>
          <w:sz w:val="24"/>
          <w:szCs w:val="24"/>
        </w:rPr>
        <w:t xml:space="preserve">. </w:t>
      </w:r>
      <w:r w:rsidR="00D34170" w:rsidRPr="000E158D">
        <w:rPr>
          <w:rFonts w:cstheme="minorHAnsi"/>
          <w:sz w:val="24"/>
          <w:szCs w:val="24"/>
        </w:rPr>
        <w:t xml:space="preserve">Elle </w:t>
      </w:r>
      <w:r w:rsidR="00D34170" w:rsidRPr="000E158D">
        <w:rPr>
          <w:rFonts w:cstheme="minorHAnsi"/>
          <w:sz w:val="24"/>
          <w:szCs w:val="24"/>
        </w:rPr>
        <w:lastRenderedPageBreak/>
        <w:t xml:space="preserve">souligne par ailleurs que le Conseil constitutionnel, ici, ne pose pas une nouvelle règle de droit positif, mais se contente d’orienter l’interprétation d’un texte. </w:t>
      </w:r>
      <w:r w:rsidR="00791563" w:rsidRPr="000E158D">
        <w:rPr>
          <w:rFonts w:cstheme="minorHAnsi"/>
          <w:sz w:val="24"/>
          <w:szCs w:val="24"/>
        </w:rPr>
        <w:t xml:space="preserve">Malgré sa lettre, l’art. L. 452-3 C. sécu. soc. doit dorénavant être interprété comme ne dressant pas une liste limitative des préjudices complémentaires dont le salarié peut demander réparation. On comprend dès lors que la réparation des préjudices non visés expressément par le texte de l’article en question et non couverts par ailleurs par les prestations de sécurité sociale suit le même régime que l’indemnisation des préjudices directement visés. </w:t>
      </w:r>
      <w:r w:rsidR="00EA2088" w:rsidRPr="000E158D">
        <w:rPr>
          <w:rFonts w:cstheme="minorHAnsi"/>
          <w:sz w:val="24"/>
          <w:szCs w:val="24"/>
        </w:rPr>
        <w:t>L</w:t>
      </w:r>
      <w:r w:rsidR="00791563" w:rsidRPr="000E158D">
        <w:rPr>
          <w:rFonts w:cstheme="minorHAnsi"/>
          <w:sz w:val="24"/>
          <w:szCs w:val="24"/>
        </w:rPr>
        <w:t>a Cour de cassation a ainsi précisé que le versement direct par les cai</w:t>
      </w:r>
      <w:r w:rsidR="00EA2088" w:rsidRPr="000E158D">
        <w:rPr>
          <w:rFonts w:cstheme="minorHAnsi"/>
          <w:sz w:val="24"/>
          <w:szCs w:val="24"/>
        </w:rPr>
        <w:t>sses de sécurité sociale prévu par le dernier alinéa</w:t>
      </w:r>
      <w:r w:rsidR="00791563" w:rsidRPr="000E158D">
        <w:rPr>
          <w:rFonts w:cstheme="minorHAnsi"/>
          <w:sz w:val="24"/>
          <w:szCs w:val="24"/>
        </w:rPr>
        <w:t xml:space="preserve"> de l’art. L. 452-3 s’</w:t>
      </w:r>
      <w:r w:rsidR="00EA2088" w:rsidRPr="000E158D">
        <w:rPr>
          <w:rFonts w:cstheme="minorHAnsi"/>
          <w:sz w:val="24"/>
          <w:szCs w:val="24"/>
        </w:rPr>
        <w:t>appliquait aussi au</w:t>
      </w:r>
      <w:r w:rsidR="00972B0C" w:rsidRPr="000E158D">
        <w:rPr>
          <w:rFonts w:cstheme="minorHAnsi"/>
          <w:sz w:val="24"/>
          <w:szCs w:val="24"/>
        </w:rPr>
        <w:t>x</w:t>
      </w:r>
      <w:r w:rsidR="00EA2088" w:rsidRPr="000E158D">
        <w:rPr>
          <w:rFonts w:cstheme="minorHAnsi"/>
          <w:sz w:val="24"/>
          <w:szCs w:val="24"/>
        </w:rPr>
        <w:t xml:space="preserve"> préjudices non énumérés par ce texte (</w:t>
      </w:r>
      <w:r w:rsidR="00EA2088" w:rsidRPr="000E158D">
        <w:rPr>
          <w:rFonts w:cstheme="minorHAnsi"/>
          <w:color w:val="0070C0"/>
          <w:sz w:val="24"/>
          <w:szCs w:val="24"/>
        </w:rPr>
        <w:t>Civ. 2</w:t>
      </w:r>
      <w:r w:rsidR="00EA2088" w:rsidRPr="000E158D">
        <w:rPr>
          <w:rFonts w:cstheme="minorHAnsi"/>
          <w:color w:val="0070C0"/>
          <w:sz w:val="24"/>
          <w:szCs w:val="24"/>
          <w:vertAlign w:val="superscript"/>
        </w:rPr>
        <w:t>ème</w:t>
      </w:r>
      <w:r w:rsidR="00EA2088" w:rsidRPr="000E158D">
        <w:rPr>
          <w:rFonts w:cstheme="minorHAnsi"/>
          <w:color w:val="0070C0"/>
          <w:sz w:val="24"/>
          <w:szCs w:val="24"/>
        </w:rPr>
        <w:t>, 8 avril 2012, n° 11-14311 et 11-12299</w:t>
      </w:r>
      <w:r w:rsidR="00EA2088" w:rsidRPr="000E158D">
        <w:rPr>
          <w:rFonts w:cstheme="minorHAnsi"/>
          <w:sz w:val="24"/>
          <w:szCs w:val="24"/>
        </w:rPr>
        <w:t xml:space="preserve">). </w:t>
      </w:r>
    </w:p>
    <w:p w14:paraId="1F7E9ADE" w14:textId="77777777" w:rsidR="00AC1F7C" w:rsidRPr="000E158D" w:rsidRDefault="0064714F" w:rsidP="00A31D06">
      <w:pPr>
        <w:jc w:val="both"/>
        <w:rPr>
          <w:rFonts w:cstheme="minorHAnsi"/>
          <w:sz w:val="24"/>
          <w:szCs w:val="24"/>
        </w:rPr>
      </w:pPr>
      <w:r w:rsidRPr="000E158D">
        <w:rPr>
          <w:rFonts w:cstheme="minorHAnsi"/>
          <w:sz w:val="24"/>
          <w:szCs w:val="24"/>
        </w:rPr>
        <w:t xml:space="preserve">Une telle autorité ne s’attache assurément pas à la « nomenclature </w:t>
      </w:r>
      <w:r w:rsidR="005F5CC0" w:rsidRPr="000E158D">
        <w:rPr>
          <w:rFonts w:cstheme="minorHAnsi"/>
          <w:sz w:val="24"/>
          <w:szCs w:val="24"/>
        </w:rPr>
        <w:t>Dintilhac</w:t>
      </w:r>
      <w:r w:rsidRPr="000E158D">
        <w:rPr>
          <w:rFonts w:cstheme="minorHAnsi"/>
          <w:sz w:val="24"/>
          <w:szCs w:val="24"/>
        </w:rPr>
        <w:t xml:space="preserve"> ». </w:t>
      </w:r>
      <w:r w:rsidR="00E70482" w:rsidRPr="000E158D">
        <w:rPr>
          <w:rFonts w:cstheme="minorHAnsi"/>
          <w:sz w:val="24"/>
          <w:szCs w:val="24"/>
        </w:rPr>
        <w:t>Ce qui ne constitue qu’une proposition émanant d’un groupe de travail ne vaut pas « </w:t>
      </w:r>
      <w:r w:rsidR="00E70482" w:rsidRPr="000E158D">
        <w:rPr>
          <w:rFonts w:cstheme="minorHAnsi"/>
          <w:i/>
          <w:sz w:val="24"/>
          <w:szCs w:val="24"/>
        </w:rPr>
        <w:t>règle de droit applicable au litige</w:t>
      </w:r>
      <w:r w:rsidR="00E70482" w:rsidRPr="000E158D">
        <w:rPr>
          <w:rFonts w:cstheme="minorHAnsi"/>
          <w:sz w:val="24"/>
          <w:szCs w:val="24"/>
        </w:rPr>
        <w:t xml:space="preserve"> » au sens de l’art. 12 </w:t>
      </w:r>
      <w:r w:rsidR="005F53FB" w:rsidRPr="000E158D">
        <w:rPr>
          <w:rFonts w:cstheme="minorHAnsi"/>
          <w:sz w:val="24"/>
          <w:szCs w:val="24"/>
        </w:rPr>
        <w:t>C. proc. civ</w:t>
      </w:r>
      <w:r w:rsidR="00E70482" w:rsidRPr="000E158D">
        <w:rPr>
          <w:rFonts w:cstheme="minorHAnsi"/>
          <w:sz w:val="24"/>
          <w:szCs w:val="24"/>
        </w:rPr>
        <w:t xml:space="preserve">. </w:t>
      </w:r>
      <w:r w:rsidR="004830E1" w:rsidRPr="000E158D">
        <w:rPr>
          <w:rFonts w:cstheme="minorHAnsi"/>
          <w:sz w:val="24"/>
          <w:szCs w:val="24"/>
        </w:rPr>
        <w:t xml:space="preserve">Force est de constater toutefois que cette nomenclature inspire la Cour de cassation dans son appréciation des préjudices. En matière d’accidents du travail, la Cour de cassation </w:t>
      </w:r>
      <w:r w:rsidR="005F53FB" w:rsidRPr="000E158D">
        <w:rPr>
          <w:rFonts w:cstheme="minorHAnsi"/>
          <w:sz w:val="24"/>
          <w:szCs w:val="24"/>
        </w:rPr>
        <w:t xml:space="preserve">lui </w:t>
      </w:r>
      <w:r w:rsidR="004830E1" w:rsidRPr="000E158D">
        <w:rPr>
          <w:rFonts w:cstheme="minorHAnsi"/>
          <w:sz w:val="24"/>
          <w:szCs w:val="24"/>
        </w:rPr>
        <w:t xml:space="preserve">emprunte </w:t>
      </w:r>
      <w:r w:rsidR="005F53FB" w:rsidRPr="000E158D">
        <w:rPr>
          <w:rFonts w:cstheme="minorHAnsi"/>
          <w:sz w:val="24"/>
          <w:szCs w:val="24"/>
        </w:rPr>
        <w:t xml:space="preserve">ainsi </w:t>
      </w:r>
      <w:r w:rsidR="004830E1" w:rsidRPr="000E158D">
        <w:rPr>
          <w:rFonts w:cstheme="minorHAnsi"/>
          <w:sz w:val="24"/>
          <w:szCs w:val="24"/>
        </w:rPr>
        <w:t xml:space="preserve">son vocabulaire, évoquant le « déficit fonctionnel temporaire » et le « déficit fonctionnel permanent » alors que le code de la sécurité sociale ne parle que d’ « incapacité de travail ». Plus encore, c’est la grammaire de cette nomenclature qui paraît gagner du terrain. Tout en s’appuyant sur la décision du Conseil constitutionnel et le code de la sécurité sociale, la deuxième chambre civile de la Cour de cassation reprend à son compte l’idée d’une autonomie du préjudice sexuel </w:t>
      </w:r>
      <w:r w:rsidR="005F53FB" w:rsidRPr="000E158D">
        <w:rPr>
          <w:rFonts w:cstheme="minorHAnsi"/>
          <w:sz w:val="24"/>
          <w:szCs w:val="24"/>
        </w:rPr>
        <w:t>au regard du préjudice d’agrément et des déficits fonctionnels</w:t>
      </w:r>
      <w:r w:rsidR="004830E1" w:rsidRPr="000E158D">
        <w:rPr>
          <w:rFonts w:cstheme="minorHAnsi"/>
          <w:sz w:val="24"/>
          <w:szCs w:val="24"/>
        </w:rPr>
        <w:t xml:space="preserve">. </w:t>
      </w:r>
    </w:p>
    <w:p w14:paraId="5707E747" w14:textId="23B09310" w:rsidR="00AC1F7C" w:rsidRPr="000E158D" w:rsidRDefault="004830E1" w:rsidP="000E158D">
      <w:pPr>
        <w:pStyle w:val="Paragraphedeliste"/>
        <w:numPr>
          <w:ilvl w:val="0"/>
          <w:numId w:val="4"/>
        </w:numPr>
        <w:ind w:left="284" w:hanging="295"/>
        <w:rPr>
          <w:rFonts w:cstheme="minorHAnsi"/>
          <w:b/>
          <w:sz w:val="24"/>
          <w:szCs w:val="24"/>
        </w:rPr>
      </w:pPr>
      <w:r w:rsidRPr="000E158D">
        <w:rPr>
          <w:rFonts w:cstheme="minorHAnsi"/>
          <w:b/>
          <w:sz w:val="24"/>
          <w:szCs w:val="24"/>
        </w:rPr>
        <w:t>L</w:t>
      </w:r>
      <w:r w:rsidR="005F53FB" w:rsidRPr="000E158D">
        <w:rPr>
          <w:rFonts w:cstheme="minorHAnsi"/>
          <w:b/>
          <w:sz w:val="24"/>
          <w:szCs w:val="24"/>
        </w:rPr>
        <w:t>’autonomie du</w:t>
      </w:r>
      <w:r w:rsidRPr="000E158D">
        <w:rPr>
          <w:rFonts w:cstheme="minorHAnsi"/>
          <w:b/>
          <w:sz w:val="24"/>
          <w:szCs w:val="24"/>
        </w:rPr>
        <w:t xml:space="preserve"> préjudice sexuel</w:t>
      </w:r>
      <w:r w:rsidR="00CF20EF" w:rsidRPr="000E158D">
        <w:rPr>
          <w:rFonts w:cstheme="minorHAnsi"/>
          <w:b/>
          <w:sz w:val="24"/>
          <w:szCs w:val="24"/>
        </w:rPr>
        <w:t xml:space="preserve"> </w:t>
      </w:r>
    </w:p>
    <w:p w14:paraId="65406436" w14:textId="2C99FA03" w:rsidR="00B077B1" w:rsidRPr="000E158D" w:rsidRDefault="00392C96" w:rsidP="00B077B1">
      <w:pPr>
        <w:jc w:val="both"/>
        <w:rPr>
          <w:rFonts w:cstheme="minorHAnsi"/>
          <w:sz w:val="24"/>
          <w:szCs w:val="24"/>
        </w:rPr>
      </w:pPr>
      <w:r w:rsidRPr="000E158D">
        <w:rPr>
          <w:rFonts w:cstheme="minorHAnsi"/>
          <w:sz w:val="24"/>
          <w:szCs w:val="24"/>
        </w:rPr>
        <w:t xml:space="preserve">Suivant la suggestion du </w:t>
      </w:r>
      <w:r w:rsidRPr="000E158D">
        <w:rPr>
          <w:rFonts w:cstheme="minorHAnsi"/>
          <w:i/>
          <w:sz w:val="24"/>
          <w:szCs w:val="24"/>
        </w:rPr>
        <w:t xml:space="preserve">rapport </w:t>
      </w:r>
      <w:r w:rsidR="005F5CC0" w:rsidRPr="000E158D">
        <w:rPr>
          <w:rFonts w:cstheme="minorHAnsi"/>
          <w:i/>
          <w:sz w:val="24"/>
          <w:szCs w:val="24"/>
        </w:rPr>
        <w:t>Dintilhac</w:t>
      </w:r>
      <w:r w:rsidRPr="000E158D">
        <w:rPr>
          <w:rFonts w:cstheme="minorHAnsi"/>
          <w:sz w:val="24"/>
          <w:szCs w:val="24"/>
        </w:rPr>
        <w:t>, la Cour de cassation a consacré en droit commun de la responsabilité l’autonomie du préjudice sexuel, par rapport notamment au préjudice d’agrément</w:t>
      </w:r>
      <w:r w:rsidR="00513A09" w:rsidRPr="000E158D">
        <w:rPr>
          <w:rFonts w:cstheme="minorHAnsi"/>
          <w:sz w:val="24"/>
          <w:szCs w:val="24"/>
        </w:rPr>
        <w:t xml:space="preserve"> (</w:t>
      </w:r>
      <w:r w:rsidR="00513A09" w:rsidRPr="000E158D">
        <w:rPr>
          <w:rFonts w:cstheme="minorHAnsi"/>
          <w:color w:val="0070C0"/>
          <w:sz w:val="24"/>
          <w:szCs w:val="24"/>
        </w:rPr>
        <w:t>voir C. Lienhard, Dommage corporel, une avancée enfin décisive : le rapport Dintilhac, JAC n° 59</w:t>
      </w:r>
      <w:r w:rsidR="00513A09" w:rsidRPr="000E158D">
        <w:rPr>
          <w:rFonts w:cstheme="minorHAnsi"/>
          <w:sz w:val="24"/>
          <w:szCs w:val="24"/>
        </w:rPr>
        <w:t>)</w:t>
      </w:r>
      <w:r w:rsidRPr="000E158D">
        <w:rPr>
          <w:rFonts w:cstheme="minorHAnsi"/>
          <w:sz w:val="24"/>
          <w:szCs w:val="24"/>
        </w:rPr>
        <w:t xml:space="preserve">. </w:t>
      </w:r>
      <w:r w:rsidR="00EA6FDA" w:rsidRPr="000E158D">
        <w:rPr>
          <w:rFonts w:cstheme="minorHAnsi"/>
          <w:sz w:val="24"/>
          <w:szCs w:val="24"/>
        </w:rPr>
        <w:t>Reprenant les termes même du rapport</w:t>
      </w:r>
      <w:r w:rsidR="00544A13" w:rsidRPr="000E158D">
        <w:rPr>
          <w:rFonts w:cstheme="minorHAnsi"/>
          <w:sz w:val="24"/>
          <w:szCs w:val="24"/>
        </w:rPr>
        <w:t xml:space="preserve"> (</w:t>
      </w:r>
      <w:r w:rsidR="00544A13" w:rsidRPr="000E158D">
        <w:rPr>
          <w:rFonts w:cstheme="minorHAnsi"/>
          <w:color w:val="0070C0"/>
          <w:sz w:val="24"/>
          <w:szCs w:val="24"/>
        </w:rPr>
        <w:t xml:space="preserve">Voir M. Robineau, </w:t>
      </w:r>
      <w:r w:rsidR="005F5CC0" w:rsidRPr="000E158D">
        <w:rPr>
          <w:rFonts w:cstheme="minorHAnsi"/>
          <w:color w:val="0070C0"/>
          <w:sz w:val="24"/>
          <w:szCs w:val="24"/>
        </w:rPr>
        <w:t xml:space="preserve">Le statut normatif de la nomenclature Dintilhac, </w:t>
      </w:r>
      <w:r w:rsidR="005F5CC0" w:rsidRPr="000E158D">
        <w:rPr>
          <w:rFonts w:cstheme="minorHAnsi"/>
          <w:i/>
          <w:color w:val="0070C0"/>
          <w:sz w:val="24"/>
          <w:szCs w:val="24"/>
        </w:rPr>
        <w:t>JCP</w:t>
      </w:r>
      <w:r w:rsidR="005F5CC0" w:rsidRPr="000E158D">
        <w:rPr>
          <w:rFonts w:cstheme="minorHAnsi"/>
          <w:color w:val="0070C0"/>
          <w:sz w:val="24"/>
          <w:szCs w:val="24"/>
        </w:rPr>
        <w:t xml:space="preserve"> G 2010, 612. 1147</w:t>
      </w:r>
      <w:r w:rsidR="00544A13" w:rsidRPr="000E158D">
        <w:rPr>
          <w:rFonts w:cstheme="minorHAnsi"/>
          <w:sz w:val="24"/>
          <w:szCs w:val="24"/>
        </w:rPr>
        <w:t>)</w:t>
      </w:r>
      <w:r w:rsidRPr="000E158D">
        <w:rPr>
          <w:rFonts w:cstheme="minorHAnsi"/>
          <w:sz w:val="24"/>
          <w:szCs w:val="24"/>
        </w:rPr>
        <w:t>, la deuxième Chambre civile affirme</w:t>
      </w:r>
      <w:r w:rsidR="00C84E99" w:rsidRPr="000E158D">
        <w:rPr>
          <w:rFonts w:cstheme="minorHAnsi"/>
          <w:sz w:val="24"/>
          <w:szCs w:val="24"/>
        </w:rPr>
        <w:t xml:space="preserve"> que</w:t>
      </w:r>
      <w:r w:rsidR="003D046F" w:rsidRPr="000E158D">
        <w:rPr>
          <w:rFonts w:cstheme="minorHAnsi"/>
          <w:sz w:val="24"/>
          <w:szCs w:val="24"/>
        </w:rPr>
        <w:t xml:space="preserve"> le préjudice d’agrément vise exclusivement « </w:t>
      </w:r>
      <w:r w:rsidR="003D046F" w:rsidRPr="000E158D">
        <w:rPr>
          <w:rFonts w:cstheme="minorHAnsi"/>
          <w:i/>
          <w:sz w:val="24"/>
          <w:szCs w:val="24"/>
        </w:rPr>
        <w:t>l'impossibilité pour la victime de pratiquer régulièrement une activité spécifique sportive ou de loisirs</w:t>
      </w:r>
      <w:r w:rsidR="003D046F" w:rsidRPr="000E158D">
        <w:rPr>
          <w:rFonts w:cstheme="minorHAnsi"/>
          <w:sz w:val="24"/>
          <w:szCs w:val="24"/>
        </w:rPr>
        <w:t> » (</w:t>
      </w:r>
      <w:r w:rsidR="003D046F" w:rsidRPr="000E158D">
        <w:rPr>
          <w:rFonts w:cstheme="minorHAnsi"/>
          <w:color w:val="0070C0"/>
          <w:sz w:val="24"/>
          <w:szCs w:val="24"/>
        </w:rPr>
        <w:t xml:space="preserve">Civ. 2ème 28 mai 2009, </w:t>
      </w:r>
      <w:r w:rsidR="003D046F" w:rsidRPr="000E158D">
        <w:rPr>
          <w:rFonts w:cstheme="minorHAnsi"/>
          <w:i/>
          <w:color w:val="0070C0"/>
          <w:sz w:val="24"/>
          <w:szCs w:val="24"/>
        </w:rPr>
        <w:t>Bull. civ</w:t>
      </w:r>
      <w:r w:rsidR="00544A13" w:rsidRPr="000E158D">
        <w:rPr>
          <w:rFonts w:cstheme="minorHAnsi"/>
          <w:color w:val="0070C0"/>
          <w:sz w:val="24"/>
          <w:szCs w:val="24"/>
        </w:rPr>
        <w:t>. II, n° 1</w:t>
      </w:r>
      <w:r w:rsidR="003D046F" w:rsidRPr="000E158D">
        <w:rPr>
          <w:rFonts w:cstheme="minorHAnsi"/>
          <w:color w:val="0070C0"/>
          <w:sz w:val="24"/>
          <w:szCs w:val="24"/>
        </w:rPr>
        <w:t>31</w:t>
      </w:r>
      <w:r w:rsidR="003D046F" w:rsidRPr="000E158D">
        <w:rPr>
          <w:rFonts w:cstheme="minorHAnsi"/>
          <w:sz w:val="24"/>
          <w:szCs w:val="24"/>
        </w:rPr>
        <w:t xml:space="preserve">). Distinct du précédent, </w:t>
      </w:r>
      <w:r w:rsidR="00C84E99" w:rsidRPr="000E158D">
        <w:rPr>
          <w:rFonts w:cstheme="minorHAnsi"/>
          <w:sz w:val="24"/>
          <w:szCs w:val="24"/>
        </w:rPr>
        <w:t>« </w:t>
      </w:r>
      <w:r w:rsidR="003D046F" w:rsidRPr="000E158D">
        <w:rPr>
          <w:rFonts w:cstheme="minorHAnsi"/>
          <w:sz w:val="24"/>
          <w:szCs w:val="24"/>
        </w:rPr>
        <w:t>l</w:t>
      </w:r>
      <w:r w:rsidRPr="000E158D">
        <w:rPr>
          <w:rFonts w:cstheme="minorHAnsi"/>
          <w:i/>
          <w:sz w:val="24"/>
          <w:szCs w:val="24"/>
        </w:rPr>
        <w:t>e préjudice sexuel comprend tous les préjudices touchant à la sphère sexuelle à savoir : le préjudice morphologique lié à l'atteinte aux organes sexuels primaires et secondaires résultant du dommage subi, le préjudice lié à l'acte sexuel lui-même qui repose sur la perte du plaisir lié à l'accomplissement de l'acte sexuel, qu'il s'agisse de la perte de l'envie ou de la libido, de la perte de la capacité physique de réaliser l'acte, ou de la perte de la capacité à accéder au plaisir, le préjudice lié à une impossibilité ou une difficulté à procréer</w:t>
      </w:r>
      <w:r w:rsidR="00C84E99" w:rsidRPr="000E158D">
        <w:rPr>
          <w:rFonts w:cstheme="minorHAnsi"/>
          <w:sz w:val="24"/>
          <w:szCs w:val="24"/>
        </w:rPr>
        <w:t> » (</w:t>
      </w:r>
      <w:r w:rsidR="00C84E99" w:rsidRPr="000E158D">
        <w:rPr>
          <w:rFonts w:cstheme="minorHAnsi"/>
          <w:color w:val="0070C0"/>
          <w:sz w:val="24"/>
          <w:szCs w:val="24"/>
        </w:rPr>
        <w:t xml:space="preserve">Civ. 2ème 17 juin 2010, </w:t>
      </w:r>
      <w:r w:rsidR="00544A13" w:rsidRPr="000E158D">
        <w:rPr>
          <w:rFonts w:cstheme="minorHAnsi"/>
          <w:i/>
          <w:color w:val="0070C0"/>
          <w:sz w:val="24"/>
          <w:szCs w:val="24"/>
        </w:rPr>
        <w:t>Bull. civ</w:t>
      </w:r>
      <w:r w:rsidR="00544A13" w:rsidRPr="000E158D">
        <w:rPr>
          <w:rFonts w:cstheme="minorHAnsi"/>
          <w:color w:val="0070C0"/>
          <w:sz w:val="24"/>
          <w:szCs w:val="24"/>
        </w:rPr>
        <w:t>. II, n° 115</w:t>
      </w:r>
      <w:r w:rsidR="00544A13" w:rsidRPr="000E158D">
        <w:rPr>
          <w:rFonts w:cstheme="minorHAnsi"/>
          <w:sz w:val="24"/>
          <w:szCs w:val="24"/>
        </w:rPr>
        <w:t>)</w:t>
      </w:r>
      <w:r w:rsidR="005F53FB" w:rsidRPr="000E158D">
        <w:rPr>
          <w:rFonts w:cstheme="minorHAnsi"/>
          <w:sz w:val="24"/>
          <w:szCs w:val="24"/>
        </w:rPr>
        <w:t>.</w:t>
      </w:r>
    </w:p>
    <w:p w14:paraId="72514827" w14:textId="77777777" w:rsidR="00617770" w:rsidRPr="000E158D" w:rsidRDefault="00617770" w:rsidP="00617770">
      <w:pPr>
        <w:jc w:val="both"/>
        <w:rPr>
          <w:rFonts w:cstheme="minorHAnsi"/>
          <w:sz w:val="24"/>
          <w:szCs w:val="24"/>
        </w:rPr>
      </w:pPr>
      <w:r w:rsidRPr="000E158D">
        <w:rPr>
          <w:rFonts w:cstheme="minorHAnsi"/>
          <w:sz w:val="24"/>
          <w:szCs w:val="24"/>
        </w:rPr>
        <w:t>En matière d’accident du travail, la Cour de cassation retenait pourtant une conception large du préjudice d’agrément, incluant le préjudice sexuel : « </w:t>
      </w:r>
      <w:r w:rsidRPr="000E158D">
        <w:rPr>
          <w:rFonts w:cstheme="minorHAnsi"/>
          <w:i/>
          <w:sz w:val="24"/>
          <w:szCs w:val="24"/>
        </w:rPr>
        <w:t>au sens de l'article L. 452-3 du code de la sécurité sociale, le préjudice d'agrément est celui qui résulte des troubles ressentis dans les conditions d'existence, notamment le préjudice sexuel</w:t>
      </w:r>
      <w:r w:rsidRPr="000E158D">
        <w:rPr>
          <w:rFonts w:cstheme="minorHAnsi"/>
          <w:sz w:val="24"/>
          <w:szCs w:val="24"/>
        </w:rPr>
        <w:t> » (</w:t>
      </w:r>
      <w:r w:rsidRPr="000E158D">
        <w:rPr>
          <w:rFonts w:cstheme="minorHAnsi"/>
          <w:color w:val="0070C0"/>
          <w:sz w:val="24"/>
          <w:szCs w:val="24"/>
        </w:rPr>
        <w:t>Civ. 2</w:t>
      </w:r>
      <w:r w:rsidRPr="000E158D">
        <w:rPr>
          <w:rFonts w:cstheme="minorHAnsi"/>
          <w:color w:val="0070C0"/>
          <w:sz w:val="24"/>
          <w:szCs w:val="24"/>
          <w:vertAlign w:val="superscript"/>
        </w:rPr>
        <w:t>ème</w:t>
      </w:r>
      <w:r w:rsidRPr="000E158D">
        <w:rPr>
          <w:rFonts w:cstheme="minorHAnsi"/>
          <w:color w:val="0070C0"/>
          <w:sz w:val="24"/>
          <w:szCs w:val="24"/>
        </w:rPr>
        <w:t xml:space="preserve"> 8 avril 2010, n° 09-14047</w:t>
      </w:r>
      <w:r w:rsidR="00D34170" w:rsidRPr="000E158D">
        <w:rPr>
          <w:rFonts w:cstheme="minorHAnsi"/>
          <w:color w:val="0070C0"/>
          <w:sz w:val="24"/>
          <w:szCs w:val="24"/>
        </w:rPr>
        <w:t>,</w:t>
      </w:r>
      <w:r w:rsidR="005F53FB" w:rsidRPr="000E158D">
        <w:rPr>
          <w:rFonts w:cstheme="minorHAnsi"/>
          <w:color w:val="0070C0"/>
          <w:sz w:val="24"/>
          <w:szCs w:val="24"/>
        </w:rPr>
        <w:t xml:space="preserve"> </w:t>
      </w:r>
      <w:r w:rsidR="00D34170" w:rsidRPr="000E158D">
        <w:rPr>
          <w:rFonts w:cstheme="minorHAnsi"/>
          <w:i/>
          <w:color w:val="0070C0"/>
          <w:sz w:val="24"/>
          <w:szCs w:val="24"/>
        </w:rPr>
        <w:t>RJS</w:t>
      </w:r>
      <w:r w:rsidR="00D34170" w:rsidRPr="000E158D">
        <w:rPr>
          <w:rFonts w:cstheme="minorHAnsi"/>
          <w:color w:val="0070C0"/>
          <w:sz w:val="24"/>
          <w:szCs w:val="24"/>
        </w:rPr>
        <w:t xml:space="preserve"> 2010, no 559; </w:t>
      </w:r>
      <w:r w:rsidR="00D34170" w:rsidRPr="000E158D">
        <w:rPr>
          <w:rFonts w:cstheme="minorHAnsi"/>
          <w:i/>
          <w:color w:val="0070C0"/>
          <w:sz w:val="24"/>
          <w:szCs w:val="24"/>
        </w:rPr>
        <w:t>JCP</w:t>
      </w:r>
      <w:r w:rsidR="00D34170" w:rsidRPr="000E158D">
        <w:rPr>
          <w:rFonts w:cstheme="minorHAnsi"/>
          <w:color w:val="0070C0"/>
          <w:sz w:val="24"/>
          <w:szCs w:val="24"/>
        </w:rPr>
        <w:t xml:space="preserve"> S 2010, no 1662, note T. Tauran; </w:t>
      </w:r>
      <w:r w:rsidR="00D34170" w:rsidRPr="000E158D">
        <w:rPr>
          <w:rFonts w:cstheme="minorHAnsi"/>
          <w:i/>
          <w:color w:val="0070C0"/>
          <w:sz w:val="24"/>
          <w:szCs w:val="24"/>
        </w:rPr>
        <w:t>RTD civ</w:t>
      </w:r>
      <w:r w:rsidR="00D34170" w:rsidRPr="000E158D">
        <w:rPr>
          <w:rFonts w:cstheme="minorHAnsi"/>
          <w:color w:val="0070C0"/>
          <w:sz w:val="24"/>
          <w:szCs w:val="24"/>
        </w:rPr>
        <w:t xml:space="preserve">. 2010. 559, note P. Jourdain; </w:t>
      </w:r>
      <w:r w:rsidR="00D34170" w:rsidRPr="000E158D">
        <w:rPr>
          <w:rFonts w:cstheme="minorHAnsi"/>
          <w:i/>
          <w:color w:val="0070C0"/>
          <w:sz w:val="24"/>
          <w:szCs w:val="24"/>
        </w:rPr>
        <w:t>D</w:t>
      </w:r>
      <w:r w:rsidR="00D34170" w:rsidRPr="000E158D">
        <w:rPr>
          <w:rFonts w:cstheme="minorHAnsi"/>
          <w:color w:val="0070C0"/>
          <w:sz w:val="24"/>
          <w:szCs w:val="24"/>
        </w:rPr>
        <w:t xml:space="preserve">. 2010. 1089, note P. Sargos; </w:t>
      </w:r>
      <w:r w:rsidR="00D34170" w:rsidRPr="000E158D">
        <w:rPr>
          <w:rFonts w:cstheme="minorHAnsi"/>
          <w:i/>
          <w:color w:val="0070C0"/>
          <w:sz w:val="24"/>
          <w:szCs w:val="24"/>
        </w:rPr>
        <w:t>Dr. ouvrier</w:t>
      </w:r>
      <w:r w:rsidR="00D34170" w:rsidRPr="000E158D">
        <w:rPr>
          <w:rFonts w:cstheme="minorHAnsi"/>
          <w:color w:val="0070C0"/>
          <w:sz w:val="24"/>
          <w:szCs w:val="24"/>
        </w:rPr>
        <w:t xml:space="preserve"> 2010. 612, obs. F. Guiomard</w:t>
      </w:r>
      <w:r w:rsidRPr="000E158D">
        <w:rPr>
          <w:rFonts w:cstheme="minorHAnsi"/>
          <w:sz w:val="24"/>
          <w:szCs w:val="24"/>
        </w:rPr>
        <w:t xml:space="preserve">). </w:t>
      </w:r>
      <w:r w:rsidR="003D046F" w:rsidRPr="000E158D">
        <w:rPr>
          <w:rFonts w:cstheme="minorHAnsi"/>
          <w:sz w:val="24"/>
          <w:szCs w:val="24"/>
        </w:rPr>
        <w:t xml:space="preserve">Cette conception large permettait en réalité à la Cour de cassation d’assurer une prise en charge du préjudice sexuel en cas de faute inexcusable, puisque seul le préjudice d’agrément est en tant que tel visé par l’article L. 452-3 </w:t>
      </w:r>
      <w:r w:rsidR="005F53FB" w:rsidRPr="000E158D">
        <w:rPr>
          <w:rFonts w:cstheme="minorHAnsi"/>
          <w:sz w:val="24"/>
          <w:szCs w:val="24"/>
        </w:rPr>
        <w:t>C. sécu. soc.</w:t>
      </w:r>
      <w:r w:rsidR="003D046F" w:rsidRPr="000E158D">
        <w:rPr>
          <w:rFonts w:cstheme="minorHAnsi"/>
          <w:sz w:val="24"/>
          <w:szCs w:val="24"/>
        </w:rPr>
        <w:t xml:space="preserve">. Retenir l’autonomie du préjudice sexuel aurait contraint la Cour de cassation </w:t>
      </w:r>
      <w:r w:rsidR="005F5CC0" w:rsidRPr="000E158D">
        <w:rPr>
          <w:rFonts w:cstheme="minorHAnsi"/>
          <w:sz w:val="24"/>
          <w:szCs w:val="24"/>
        </w:rPr>
        <w:t>à</w:t>
      </w:r>
      <w:r w:rsidR="003D046F" w:rsidRPr="000E158D">
        <w:rPr>
          <w:rFonts w:cstheme="minorHAnsi"/>
          <w:sz w:val="24"/>
          <w:szCs w:val="24"/>
        </w:rPr>
        <w:t xml:space="preserve"> l’exclure de la liste de ces préjudices dont le salarié peut réclamer réparation en sus de la majoration de sa rente ou indemnité d’incapacité. </w:t>
      </w:r>
    </w:p>
    <w:p w14:paraId="3349E685" w14:textId="77777777" w:rsidR="003D046F" w:rsidRPr="000E158D" w:rsidRDefault="003D046F" w:rsidP="00617770">
      <w:pPr>
        <w:jc w:val="both"/>
        <w:rPr>
          <w:rFonts w:cstheme="minorHAnsi"/>
          <w:sz w:val="24"/>
          <w:szCs w:val="24"/>
        </w:rPr>
      </w:pPr>
      <w:r w:rsidRPr="000E158D">
        <w:rPr>
          <w:rFonts w:cstheme="minorHAnsi"/>
          <w:sz w:val="24"/>
          <w:szCs w:val="24"/>
        </w:rPr>
        <w:lastRenderedPageBreak/>
        <w:t xml:space="preserve">Depuis la décision QPC du 18 juin 2010 rendue par le Conseil constitutionnel et l’ouverture de la liste des préjudices dressée par l’article L. 452-3 </w:t>
      </w:r>
      <w:r w:rsidR="005F53FB" w:rsidRPr="000E158D">
        <w:rPr>
          <w:rFonts w:cstheme="minorHAnsi"/>
          <w:sz w:val="24"/>
          <w:szCs w:val="24"/>
        </w:rPr>
        <w:t>C. sécu. soc.</w:t>
      </w:r>
      <w:r w:rsidRPr="000E158D">
        <w:rPr>
          <w:rFonts w:cstheme="minorHAnsi"/>
          <w:sz w:val="24"/>
          <w:szCs w:val="24"/>
        </w:rPr>
        <w:t xml:space="preserve">, ce rattachement n’est plus nécessaire pour assurer la prise en charge du préjudice sexuel. </w:t>
      </w:r>
      <w:r w:rsidR="00CC104F" w:rsidRPr="000E158D">
        <w:rPr>
          <w:rFonts w:cstheme="minorHAnsi"/>
          <w:sz w:val="24"/>
          <w:szCs w:val="24"/>
        </w:rPr>
        <w:t>Par deux arrêts des 4 avril et 28 juin 2012, la Cour de cassation aligne alors son interprétation sur celle du droit commun en consacrant l’autonomie du préjudice sexuel. La Cour énonce ainsi que « </w:t>
      </w:r>
      <w:r w:rsidR="00CC104F" w:rsidRPr="000E158D">
        <w:rPr>
          <w:rFonts w:cstheme="minorHAnsi"/>
          <w:i/>
          <w:sz w:val="24"/>
          <w:szCs w:val="24"/>
        </w:rPr>
        <w:t>le préjudice sexuel, qui comprend tous les préjudices touchant à la sphère sexuelle, doit désormais être apprécié distinctement du préjudice d'agrément mentionné au texte susvisé</w:t>
      </w:r>
      <w:r w:rsidR="00CC104F" w:rsidRPr="000E158D">
        <w:rPr>
          <w:rFonts w:cstheme="minorHAnsi"/>
          <w:sz w:val="24"/>
          <w:szCs w:val="24"/>
        </w:rPr>
        <w:t> »</w:t>
      </w:r>
      <w:r w:rsidR="00513A09" w:rsidRPr="000E158D">
        <w:rPr>
          <w:rFonts w:cstheme="minorHAnsi"/>
          <w:sz w:val="24"/>
          <w:szCs w:val="24"/>
        </w:rPr>
        <w:t xml:space="preserve"> (</w:t>
      </w:r>
      <w:r w:rsidR="00513A09" w:rsidRPr="000E158D">
        <w:rPr>
          <w:rFonts w:cstheme="minorHAnsi"/>
          <w:color w:val="0070C0"/>
          <w:sz w:val="24"/>
          <w:szCs w:val="24"/>
        </w:rPr>
        <w:t>Civ. 2</w:t>
      </w:r>
      <w:r w:rsidR="00513A09" w:rsidRPr="000E158D">
        <w:rPr>
          <w:rFonts w:cstheme="minorHAnsi"/>
          <w:color w:val="0070C0"/>
          <w:sz w:val="24"/>
          <w:szCs w:val="24"/>
          <w:vertAlign w:val="superscript"/>
        </w:rPr>
        <w:t>ème</w:t>
      </w:r>
      <w:r w:rsidR="00513A09" w:rsidRPr="000E158D">
        <w:rPr>
          <w:rFonts w:cstheme="minorHAnsi"/>
          <w:color w:val="0070C0"/>
          <w:sz w:val="24"/>
          <w:szCs w:val="24"/>
        </w:rPr>
        <w:t xml:space="preserve"> 4 avril 2012, PBRI, </w:t>
      </w:r>
      <w:r w:rsidR="00513A09" w:rsidRPr="000E158D">
        <w:rPr>
          <w:rFonts w:cstheme="minorHAnsi"/>
          <w:i/>
          <w:color w:val="0070C0"/>
          <w:sz w:val="24"/>
          <w:szCs w:val="24"/>
        </w:rPr>
        <w:t>Dr. soc</w:t>
      </w:r>
      <w:r w:rsidR="00513A09" w:rsidRPr="000E158D">
        <w:rPr>
          <w:rFonts w:cstheme="minorHAnsi"/>
          <w:color w:val="0070C0"/>
          <w:sz w:val="24"/>
          <w:szCs w:val="24"/>
        </w:rPr>
        <w:t xml:space="preserve">. 2012, 839, note S. Hocquet-Berg ; </w:t>
      </w:r>
      <w:r w:rsidR="00513A09" w:rsidRPr="000E158D">
        <w:rPr>
          <w:rFonts w:cstheme="minorHAnsi"/>
          <w:i/>
          <w:color w:val="0070C0"/>
          <w:sz w:val="24"/>
          <w:szCs w:val="24"/>
        </w:rPr>
        <w:t>D</w:t>
      </w:r>
      <w:r w:rsidR="00513A09" w:rsidRPr="000E158D">
        <w:rPr>
          <w:rFonts w:cstheme="minorHAnsi"/>
          <w:color w:val="0070C0"/>
          <w:sz w:val="24"/>
          <w:szCs w:val="24"/>
        </w:rPr>
        <w:t xml:space="preserve">. 2012, 1098, note P. Porchy-Simon ; Civ. 28 juin 2012, </w:t>
      </w:r>
      <w:r w:rsidR="00513A09" w:rsidRPr="000E158D">
        <w:rPr>
          <w:rFonts w:cstheme="minorHAnsi"/>
          <w:i/>
          <w:color w:val="0070C0"/>
          <w:sz w:val="24"/>
          <w:szCs w:val="24"/>
        </w:rPr>
        <w:t>Dalloz actualité</w:t>
      </w:r>
      <w:r w:rsidR="00513A09" w:rsidRPr="000E158D">
        <w:rPr>
          <w:rFonts w:cstheme="minorHAnsi"/>
          <w:color w:val="0070C0"/>
          <w:sz w:val="24"/>
          <w:szCs w:val="24"/>
        </w:rPr>
        <w:t>, 10 juillet 2012, obs. G. Rabu</w:t>
      </w:r>
      <w:r w:rsidR="00513A09" w:rsidRPr="000E158D">
        <w:rPr>
          <w:rFonts w:cstheme="minorHAnsi"/>
          <w:sz w:val="24"/>
          <w:szCs w:val="24"/>
        </w:rPr>
        <w:t>)</w:t>
      </w:r>
      <w:r w:rsidR="00CC104F" w:rsidRPr="000E158D">
        <w:rPr>
          <w:rFonts w:cstheme="minorHAnsi"/>
          <w:sz w:val="24"/>
          <w:szCs w:val="24"/>
        </w:rPr>
        <w:t xml:space="preserve">. </w:t>
      </w:r>
      <w:r w:rsidR="006B01EC" w:rsidRPr="000E158D">
        <w:rPr>
          <w:rFonts w:cstheme="minorHAnsi"/>
          <w:sz w:val="24"/>
          <w:szCs w:val="24"/>
        </w:rPr>
        <w:t>En usant</w:t>
      </w:r>
      <w:r w:rsidR="009B02F8" w:rsidRPr="000E158D">
        <w:rPr>
          <w:rFonts w:cstheme="minorHAnsi"/>
          <w:sz w:val="24"/>
          <w:szCs w:val="24"/>
        </w:rPr>
        <w:t xml:space="preserve"> de la formule « doit désormais être apprécié », la Cour de cassation </w:t>
      </w:r>
      <w:r w:rsidR="006B01EC" w:rsidRPr="000E158D">
        <w:rPr>
          <w:rFonts w:cstheme="minorHAnsi"/>
          <w:sz w:val="24"/>
          <w:szCs w:val="24"/>
        </w:rPr>
        <w:t>ne semble même pas</w:t>
      </w:r>
      <w:r w:rsidR="009B02F8" w:rsidRPr="000E158D">
        <w:rPr>
          <w:rFonts w:cstheme="minorHAnsi"/>
          <w:sz w:val="24"/>
          <w:szCs w:val="24"/>
        </w:rPr>
        <w:t xml:space="preserve"> masquer le caractère normatif </w:t>
      </w:r>
      <w:r w:rsidR="006B01EC" w:rsidRPr="000E158D">
        <w:rPr>
          <w:rFonts w:cstheme="minorHAnsi"/>
          <w:sz w:val="24"/>
          <w:szCs w:val="24"/>
        </w:rPr>
        <w:t>de sa jurisprudence</w:t>
      </w:r>
      <w:r w:rsidR="009B02F8" w:rsidRPr="000E158D">
        <w:rPr>
          <w:rFonts w:cstheme="minorHAnsi"/>
          <w:sz w:val="24"/>
          <w:szCs w:val="24"/>
        </w:rPr>
        <w:t xml:space="preserve">. La décision du Conseil constitutionnel ne dit en effet pas un mot sur cette question du préjudice sexuel et n’imposait en rien ce revirement. </w:t>
      </w:r>
      <w:r w:rsidR="006B01EC" w:rsidRPr="000E158D">
        <w:rPr>
          <w:rFonts w:cstheme="minorHAnsi"/>
          <w:sz w:val="24"/>
          <w:szCs w:val="24"/>
        </w:rPr>
        <w:t xml:space="preserve">Reste que ce choix de politique juridique est à même de faire progresser la réparation des victimes d’accident du travail. </w:t>
      </w:r>
    </w:p>
    <w:p w14:paraId="2A9D1318" w14:textId="77777777" w:rsidR="000E158D" w:rsidRDefault="00CC104F" w:rsidP="000E158D">
      <w:pPr>
        <w:jc w:val="both"/>
        <w:rPr>
          <w:rFonts w:cstheme="minorHAnsi"/>
          <w:sz w:val="24"/>
          <w:szCs w:val="24"/>
        </w:rPr>
      </w:pPr>
      <w:r w:rsidRPr="000E158D">
        <w:rPr>
          <w:rFonts w:cstheme="minorHAnsi"/>
          <w:sz w:val="24"/>
          <w:szCs w:val="24"/>
        </w:rPr>
        <w:t xml:space="preserve">L’arrêt du 28 juin </w:t>
      </w:r>
      <w:r w:rsidR="00827C7D" w:rsidRPr="000E158D">
        <w:rPr>
          <w:rFonts w:cstheme="minorHAnsi"/>
          <w:sz w:val="24"/>
          <w:szCs w:val="24"/>
        </w:rPr>
        <w:t xml:space="preserve">2012 </w:t>
      </w:r>
      <w:r w:rsidRPr="000E158D">
        <w:rPr>
          <w:rFonts w:cstheme="minorHAnsi"/>
          <w:sz w:val="24"/>
          <w:szCs w:val="24"/>
        </w:rPr>
        <w:t xml:space="preserve">précise </w:t>
      </w:r>
      <w:r w:rsidR="006B01EC" w:rsidRPr="000E158D">
        <w:rPr>
          <w:rFonts w:cstheme="minorHAnsi"/>
          <w:sz w:val="24"/>
          <w:szCs w:val="24"/>
        </w:rPr>
        <w:t>en outre</w:t>
      </w:r>
      <w:r w:rsidRPr="000E158D">
        <w:rPr>
          <w:rFonts w:cstheme="minorHAnsi"/>
          <w:sz w:val="24"/>
          <w:szCs w:val="24"/>
        </w:rPr>
        <w:t xml:space="preserve"> que le préjudice sexuel ne saurait être confo</w:t>
      </w:r>
      <w:r w:rsidR="00972B0C" w:rsidRPr="000E158D">
        <w:rPr>
          <w:rFonts w:cstheme="minorHAnsi"/>
          <w:sz w:val="24"/>
          <w:szCs w:val="24"/>
        </w:rPr>
        <w:t>ndu avec le déficit fonctionnel</w:t>
      </w:r>
      <w:r w:rsidRPr="000E158D">
        <w:rPr>
          <w:rFonts w:cstheme="minorHAnsi"/>
          <w:sz w:val="24"/>
          <w:szCs w:val="24"/>
        </w:rPr>
        <w:t xml:space="preserve">. </w:t>
      </w:r>
      <w:r w:rsidR="00972B0C" w:rsidRPr="000E158D">
        <w:rPr>
          <w:rFonts w:cstheme="minorHAnsi"/>
          <w:sz w:val="24"/>
          <w:szCs w:val="24"/>
        </w:rPr>
        <w:t>Ce</w:t>
      </w:r>
      <w:r w:rsidRPr="000E158D">
        <w:rPr>
          <w:rFonts w:cstheme="minorHAnsi"/>
          <w:sz w:val="24"/>
          <w:szCs w:val="24"/>
        </w:rPr>
        <w:t xml:space="preserve"> préjudice </w:t>
      </w:r>
      <w:r w:rsidR="00972B0C" w:rsidRPr="000E158D">
        <w:rPr>
          <w:rFonts w:cstheme="minorHAnsi"/>
          <w:sz w:val="24"/>
          <w:szCs w:val="24"/>
        </w:rPr>
        <w:t>doit être considéré comme</w:t>
      </w:r>
      <w:r w:rsidRPr="000E158D">
        <w:rPr>
          <w:rFonts w:cstheme="minorHAnsi"/>
          <w:sz w:val="24"/>
          <w:szCs w:val="24"/>
        </w:rPr>
        <w:t xml:space="preserve"> en partie couvert par la rente ou </w:t>
      </w:r>
      <w:r w:rsidR="00827C7D" w:rsidRPr="000E158D">
        <w:rPr>
          <w:rFonts w:cstheme="minorHAnsi"/>
          <w:sz w:val="24"/>
          <w:szCs w:val="24"/>
        </w:rPr>
        <w:t>le capital</w:t>
      </w:r>
      <w:r w:rsidRPr="000E158D">
        <w:rPr>
          <w:rFonts w:cstheme="minorHAnsi"/>
          <w:sz w:val="24"/>
          <w:szCs w:val="24"/>
        </w:rPr>
        <w:t xml:space="preserve"> déjà </w:t>
      </w:r>
      <w:r w:rsidR="00827C7D" w:rsidRPr="000E158D">
        <w:rPr>
          <w:rFonts w:cstheme="minorHAnsi"/>
          <w:sz w:val="24"/>
          <w:szCs w:val="24"/>
        </w:rPr>
        <w:t xml:space="preserve">perçu par </w:t>
      </w:r>
      <w:r w:rsidRPr="000E158D">
        <w:rPr>
          <w:rFonts w:cstheme="minorHAnsi"/>
          <w:sz w:val="24"/>
          <w:szCs w:val="24"/>
        </w:rPr>
        <w:t>la victime d’accident du travail</w:t>
      </w:r>
      <w:r w:rsidR="00972B0C" w:rsidRPr="000E158D">
        <w:rPr>
          <w:rFonts w:cstheme="minorHAnsi"/>
          <w:sz w:val="24"/>
          <w:szCs w:val="24"/>
        </w:rPr>
        <w:t>, selon que l’on évoque plus précisément le déficit fonctionnel temporaire et le déficit fonctionnel permanent</w:t>
      </w:r>
      <w:r w:rsidRPr="000E158D">
        <w:rPr>
          <w:rFonts w:cstheme="minorHAnsi"/>
          <w:sz w:val="24"/>
          <w:szCs w:val="24"/>
        </w:rPr>
        <w:t xml:space="preserve">. </w:t>
      </w:r>
    </w:p>
    <w:p w14:paraId="423705ED" w14:textId="0554C17A" w:rsidR="009B02F8" w:rsidRPr="000E158D" w:rsidRDefault="009B02F8" w:rsidP="000E158D">
      <w:pPr>
        <w:pStyle w:val="Paragraphedeliste"/>
        <w:numPr>
          <w:ilvl w:val="0"/>
          <w:numId w:val="4"/>
        </w:numPr>
        <w:ind w:left="142" w:hanging="153"/>
        <w:jc w:val="both"/>
        <w:rPr>
          <w:rFonts w:cstheme="minorHAnsi"/>
          <w:sz w:val="24"/>
          <w:szCs w:val="24"/>
        </w:rPr>
      </w:pPr>
      <w:r w:rsidRPr="000E158D">
        <w:rPr>
          <w:rFonts w:cstheme="minorHAnsi"/>
          <w:b/>
          <w:sz w:val="24"/>
          <w:szCs w:val="24"/>
        </w:rPr>
        <w:t>L</w:t>
      </w:r>
      <w:r w:rsidR="005F53FB" w:rsidRPr="000E158D">
        <w:rPr>
          <w:rFonts w:cstheme="minorHAnsi"/>
          <w:b/>
          <w:sz w:val="24"/>
          <w:szCs w:val="24"/>
        </w:rPr>
        <w:t>a distinction des</w:t>
      </w:r>
      <w:r w:rsidRPr="000E158D">
        <w:rPr>
          <w:rFonts w:cstheme="minorHAnsi"/>
          <w:b/>
          <w:sz w:val="24"/>
          <w:szCs w:val="24"/>
        </w:rPr>
        <w:t xml:space="preserve"> déficit</w:t>
      </w:r>
      <w:r w:rsidR="005F53FB" w:rsidRPr="000E158D">
        <w:rPr>
          <w:rFonts w:cstheme="minorHAnsi"/>
          <w:b/>
          <w:sz w:val="24"/>
          <w:szCs w:val="24"/>
        </w:rPr>
        <w:t>s</w:t>
      </w:r>
      <w:r w:rsidRPr="000E158D">
        <w:rPr>
          <w:rFonts w:cstheme="minorHAnsi"/>
          <w:b/>
          <w:sz w:val="24"/>
          <w:szCs w:val="24"/>
        </w:rPr>
        <w:t xml:space="preserve"> fonctionnel</w:t>
      </w:r>
      <w:r w:rsidR="005F53FB" w:rsidRPr="000E158D">
        <w:rPr>
          <w:rFonts w:cstheme="minorHAnsi"/>
          <w:b/>
          <w:sz w:val="24"/>
          <w:szCs w:val="24"/>
        </w:rPr>
        <w:t>s temporaire</w:t>
      </w:r>
      <w:r w:rsidR="008F7891" w:rsidRPr="000E158D">
        <w:rPr>
          <w:rFonts w:cstheme="minorHAnsi"/>
          <w:b/>
          <w:sz w:val="24"/>
          <w:szCs w:val="24"/>
        </w:rPr>
        <w:t>s</w:t>
      </w:r>
      <w:r w:rsidR="005F53FB" w:rsidRPr="000E158D">
        <w:rPr>
          <w:rFonts w:cstheme="minorHAnsi"/>
          <w:b/>
          <w:sz w:val="24"/>
          <w:szCs w:val="24"/>
        </w:rPr>
        <w:t xml:space="preserve"> et permanent</w:t>
      </w:r>
      <w:r w:rsidR="008F7891" w:rsidRPr="000E158D">
        <w:rPr>
          <w:rFonts w:cstheme="minorHAnsi"/>
          <w:b/>
          <w:sz w:val="24"/>
          <w:szCs w:val="24"/>
        </w:rPr>
        <w:t>s</w:t>
      </w:r>
    </w:p>
    <w:p w14:paraId="53EB3348" w14:textId="77777777" w:rsidR="00972B0C" w:rsidRPr="000E158D" w:rsidRDefault="006B01EC" w:rsidP="00617770">
      <w:pPr>
        <w:jc w:val="both"/>
        <w:rPr>
          <w:rFonts w:cstheme="minorHAnsi"/>
          <w:sz w:val="24"/>
          <w:szCs w:val="24"/>
        </w:rPr>
      </w:pPr>
      <w:r w:rsidRPr="000E158D">
        <w:rPr>
          <w:rFonts w:cstheme="minorHAnsi"/>
          <w:sz w:val="24"/>
          <w:szCs w:val="24"/>
        </w:rPr>
        <w:t xml:space="preserve">Le </w:t>
      </w:r>
      <w:r w:rsidRPr="000E158D">
        <w:rPr>
          <w:rFonts w:cstheme="minorHAnsi"/>
          <w:i/>
          <w:sz w:val="24"/>
          <w:szCs w:val="24"/>
        </w:rPr>
        <w:t xml:space="preserve">rapport </w:t>
      </w:r>
      <w:r w:rsidR="005F5CC0" w:rsidRPr="000E158D">
        <w:rPr>
          <w:rFonts w:cstheme="minorHAnsi"/>
          <w:i/>
          <w:sz w:val="24"/>
          <w:szCs w:val="24"/>
        </w:rPr>
        <w:t>Dintilhac</w:t>
      </w:r>
      <w:r w:rsidRPr="000E158D">
        <w:rPr>
          <w:rFonts w:cstheme="minorHAnsi"/>
          <w:sz w:val="24"/>
          <w:szCs w:val="24"/>
        </w:rPr>
        <w:t xml:space="preserve"> suggère d’abandonner la référence à l’incapacité de travail, </w:t>
      </w:r>
      <w:r w:rsidR="00972B0C" w:rsidRPr="000E158D">
        <w:rPr>
          <w:rFonts w:cstheme="minorHAnsi"/>
          <w:sz w:val="24"/>
          <w:szCs w:val="24"/>
        </w:rPr>
        <w:t xml:space="preserve">tant il n’est pas clair que ce préjudice n’a qu’une dimension </w:t>
      </w:r>
      <w:r w:rsidR="006A6249" w:rsidRPr="000E158D">
        <w:rPr>
          <w:rFonts w:cstheme="minorHAnsi"/>
          <w:sz w:val="24"/>
          <w:szCs w:val="24"/>
        </w:rPr>
        <w:t xml:space="preserve">professionnelle </w:t>
      </w:r>
      <w:r w:rsidR="00972B0C" w:rsidRPr="000E158D">
        <w:rPr>
          <w:rFonts w:cstheme="minorHAnsi"/>
          <w:sz w:val="24"/>
          <w:szCs w:val="24"/>
        </w:rPr>
        <w:t>économique ou qu’il recouvre aussi des éléments d’ordre personnel</w:t>
      </w:r>
      <w:r w:rsidR="006A6249" w:rsidRPr="000E158D">
        <w:rPr>
          <w:rFonts w:cstheme="minorHAnsi"/>
          <w:sz w:val="24"/>
          <w:szCs w:val="24"/>
        </w:rPr>
        <w:t>, ce qui peut être source d’insécurité et d’injustice pour les victimes</w:t>
      </w:r>
      <w:r w:rsidR="00972B0C" w:rsidRPr="000E158D">
        <w:rPr>
          <w:rFonts w:cstheme="minorHAnsi"/>
          <w:sz w:val="24"/>
          <w:szCs w:val="24"/>
        </w:rPr>
        <w:t xml:space="preserve">. </w:t>
      </w:r>
      <w:r w:rsidR="006A6249" w:rsidRPr="000E158D">
        <w:rPr>
          <w:rFonts w:cstheme="minorHAnsi"/>
          <w:sz w:val="24"/>
          <w:szCs w:val="24"/>
        </w:rPr>
        <w:t>A la place d’une référence à l’incapacité de travail, qu’elle soit temporaire ou permanente, le rapport propose de nouvelles distinctions. Sur un plan patrimonial, il conviendrait d’évoquer « </w:t>
      </w:r>
      <w:r w:rsidR="006A6249" w:rsidRPr="000E158D">
        <w:rPr>
          <w:rFonts w:cstheme="minorHAnsi"/>
          <w:i/>
          <w:sz w:val="24"/>
          <w:szCs w:val="24"/>
        </w:rPr>
        <w:t>la perte de gains professionnels actuels</w:t>
      </w:r>
      <w:r w:rsidR="006A6249" w:rsidRPr="000E158D">
        <w:rPr>
          <w:rFonts w:cstheme="minorHAnsi"/>
          <w:sz w:val="24"/>
          <w:szCs w:val="24"/>
        </w:rPr>
        <w:t> », qui concerne uniquement « </w:t>
      </w:r>
      <w:r w:rsidR="006A6249" w:rsidRPr="000E158D">
        <w:rPr>
          <w:rFonts w:cstheme="minorHAnsi"/>
          <w:i/>
          <w:sz w:val="24"/>
          <w:szCs w:val="24"/>
        </w:rPr>
        <w:t>les répercussions du dommage sur la sphère professionnelle de la victime jusqu’à consolidation</w:t>
      </w:r>
      <w:r w:rsidR="006A6249" w:rsidRPr="000E158D">
        <w:rPr>
          <w:rFonts w:cstheme="minorHAnsi"/>
          <w:sz w:val="24"/>
          <w:szCs w:val="24"/>
        </w:rPr>
        <w:t> », ainsi que « </w:t>
      </w:r>
      <w:r w:rsidR="006A6249" w:rsidRPr="000E158D">
        <w:rPr>
          <w:rFonts w:cstheme="minorHAnsi"/>
          <w:i/>
          <w:sz w:val="24"/>
          <w:szCs w:val="24"/>
        </w:rPr>
        <w:t>la perte de gains futurs » et « l’incidence professionnelle</w:t>
      </w:r>
      <w:r w:rsidR="006A6249" w:rsidRPr="000E158D">
        <w:rPr>
          <w:rFonts w:cstheme="minorHAnsi"/>
          <w:sz w:val="24"/>
          <w:szCs w:val="24"/>
        </w:rPr>
        <w:t> ». Sur un plan extrapatrimonial, il faudrait parler de « déficit fonctionnel temporaire », dont le poste de préjudice « </w:t>
      </w:r>
      <w:r w:rsidR="006A6249" w:rsidRPr="000E158D">
        <w:rPr>
          <w:rFonts w:cstheme="minorHAnsi"/>
          <w:i/>
          <w:sz w:val="24"/>
          <w:szCs w:val="24"/>
        </w:rPr>
        <w:t>cherche à indemniser l’invalidité subie par la victime dans sa sphère personnelle pendant la maladie traumatique</w:t>
      </w:r>
      <w:r w:rsidR="006A6249" w:rsidRPr="000E158D">
        <w:rPr>
          <w:rFonts w:cstheme="minorHAnsi"/>
          <w:sz w:val="24"/>
          <w:szCs w:val="24"/>
        </w:rPr>
        <w:t> », et de « </w:t>
      </w:r>
      <w:r w:rsidR="006A6249" w:rsidRPr="000E158D">
        <w:rPr>
          <w:rFonts w:cstheme="minorHAnsi"/>
          <w:i/>
          <w:sz w:val="24"/>
          <w:szCs w:val="24"/>
        </w:rPr>
        <w:t>déficit fonctionnel permanent</w:t>
      </w:r>
      <w:r w:rsidR="006A6249" w:rsidRPr="000E158D">
        <w:rPr>
          <w:rFonts w:cstheme="minorHAnsi"/>
          <w:sz w:val="24"/>
          <w:szCs w:val="24"/>
        </w:rPr>
        <w:t xml:space="preserve"> » après consolidation. </w:t>
      </w:r>
    </w:p>
    <w:p w14:paraId="011B375D" w14:textId="77777777" w:rsidR="00361478" w:rsidRPr="000E158D" w:rsidRDefault="001C4F2B" w:rsidP="00617770">
      <w:pPr>
        <w:jc w:val="both"/>
        <w:rPr>
          <w:rFonts w:cstheme="minorHAnsi"/>
          <w:sz w:val="24"/>
          <w:szCs w:val="24"/>
        </w:rPr>
      </w:pPr>
      <w:r w:rsidRPr="000E158D">
        <w:rPr>
          <w:rFonts w:cstheme="minorHAnsi"/>
          <w:sz w:val="24"/>
          <w:szCs w:val="24"/>
        </w:rPr>
        <w:t xml:space="preserve">Reprenant ces distinctions, la Cour de cassation retient dans </w:t>
      </w:r>
      <w:r w:rsidR="005F53FB" w:rsidRPr="000E158D">
        <w:rPr>
          <w:rFonts w:cstheme="minorHAnsi"/>
          <w:sz w:val="24"/>
          <w:szCs w:val="24"/>
        </w:rPr>
        <w:t>son</w:t>
      </w:r>
      <w:r w:rsidRPr="000E158D">
        <w:rPr>
          <w:rFonts w:cstheme="minorHAnsi"/>
          <w:sz w:val="24"/>
          <w:szCs w:val="24"/>
        </w:rPr>
        <w:t xml:space="preserve"> arrêt du 28 mai 2009, que « </w:t>
      </w:r>
      <w:r w:rsidRPr="000E158D">
        <w:rPr>
          <w:rFonts w:cstheme="minorHAnsi"/>
          <w:i/>
          <w:sz w:val="24"/>
          <w:szCs w:val="24"/>
        </w:rPr>
        <w:t>pour l'indemnisation du préjudice corporel, la réparation des postes de préjudice dénommés déficit fonctionnel temporaire et déficit fonctionnel permanent inclut, le premier, pour la période antérieure à la date de consolidation, l'incapacité fonctionnelle totale ou partielle ainsi que le temps d'hospitalisation et les pertes de qualité de vie et des joies usuelles de la vie courante durant la maladie traumatique, le second, pour la période postérieure à cette date, les atteintes aux fonctions physiologiques, la perte de la qualité de vie et les troubles ressentis par la victime dans ses conditions d'existence personnelles, familiales et sociales</w:t>
      </w:r>
      <w:r w:rsidRPr="000E158D">
        <w:rPr>
          <w:rFonts w:cstheme="minorHAnsi"/>
          <w:sz w:val="24"/>
          <w:szCs w:val="24"/>
        </w:rPr>
        <w:t> »</w:t>
      </w:r>
      <w:r w:rsidR="005F53FB" w:rsidRPr="000E158D">
        <w:rPr>
          <w:rFonts w:cstheme="minorHAnsi"/>
          <w:sz w:val="24"/>
          <w:szCs w:val="24"/>
        </w:rPr>
        <w:t xml:space="preserve"> (</w:t>
      </w:r>
      <w:r w:rsidRPr="000E158D">
        <w:rPr>
          <w:rFonts w:cstheme="minorHAnsi"/>
          <w:color w:val="0070C0"/>
          <w:sz w:val="24"/>
          <w:szCs w:val="24"/>
        </w:rPr>
        <w:t>Civ. 2ème 28 mai 2009, Bull. civ. II,</w:t>
      </w:r>
      <w:r w:rsidR="005F5CC0" w:rsidRPr="000E158D">
        <w:rPr>
          <w:rFonts w:cstheme="minorHAnsi"/>
          <w:color w:val="0070C0"/>
          <w:sz w:val="24"/>
          <w:szCs w:val="24"/>
        </w:rPr>
        <w:t xml:space="preserve"> n° 1</w:t>
      </w:r>
      <w:r w:rsidRPr="000E158D">
        <w:rPr>
          <w:rFonts w:cstheme="minorHAnsi"/>
          <w:color w:val="0070C0"/>
          <w:sz w:val="24"/>
          <w:szCs w:val="24"/>
        </w:rPr>
        <w:t>31</w:t>
      </w:r>
      <w:r w:rsidR="005F53FB" w:rsidRPr="000E158D">
        <w:rPr>
          <w:rFonts w:cstheme="minorHAnsi"/>
          <w:sz w:val="24"/>
          <w:szCs w:val="24"/>
        </w:rPr>
        <w:t>)</w:t>
      </w:r>
      <w:r w:rsidRPr="000E158D">
        <w:rPr>
          <w:rFonts w:cstheme="minorHAnsi"/>
          <w:sz w:val="24"/>
          <w:szCs w:val="24"/>
        </w:rPr>
        <w:t>.</w:t>
      </w:r>
    </w:p>
    <w:p w14:paraId="0C2794F9" w14:textId="77777777" w:rsidR="001C4F2B" w:rsidRPr="000E158D" w:rsidRDefault="001C4F2B" w:rsidP="00617770">
      <w:pPr>
        <w:jc w:val="both"/>
        <w:rPr>
          <w:rFonts w:cstheme="minorHAnsi"/>
          <w:sz w:val="24"/>
          <w:szCs w:val="24"/>
        </w:rPr>
      </w:pPr>
      <w:r w:rsidRPr="000E158D">
        <w:rPr>
          <w:rFonts w:cstheme="minorHAnsi"/>
          <w:sz w:val="24"/>
          <w:szCs w:val="24"/>
        </w:rPr>
        <w:t xml:space="preserve">En matière d’accident du travail, </w:t>
      </w:r>
      <w:r w:rsidR="006A6249" w:rsidRPr="000E158D">
        <w:rPr>
          <w:rFonts w:cstheme="minorHAnsi"/>
          <w:sz w:val="24"/>
          <w:szCs w:val="24"/>
        </w:rPr>
        <w:t>le système d’indemnisation prévu par</w:t>
      </w:r>
      <w:r w:rsidRPr="000E158D">
        <w:rPr>
          <w:rFonts w:cstheme="minorHAnsi"/>
          <w:sz w:val="24"/>
          <w:szCs w:val="24"/>
        </w:rPr>
        <w:t xml:space="preserve"> le Code de la sécurité sociale </w:t>
      </w:r>
      <w:r w:rsidR="006A6249" w:rsidRPr="000E158D">
        <w:rPr>
          <w:rFonts w:cstheme="minorHAnsi"/>
          <w:sz w:val="24"/>
          <w:szCs w:val="24"/>
        </w:rPr>
        <w:t>repose sur l</w:t>
      </w:r>
      <w:r w:rsidRPr="000E158D">
        <w:rPr>
          <w:rFonts w:cstheme="minorHAnsi"/>
          <w:sz w:val="24"/>
          <w:szCs w:val="24"/>
        </w:rPr>
        <w:t>’incapacité de travail, temporaire ou définitive. L’incapacité temporaire est couverte par le versement des indemnités journalières, et l’incapacité permanente par le service d’une indemnité en capital ou d’une rente</w:t>
      </w:r>
      <w:r w:rsidR="006A6249" w:rsidRPr="000E158D">
        <w:rPr>
          <w:rFonts w:cstheme="minorHAnsi"/>
          <w:sz w:val="24"/>
          <w:szCs w:val="24"/>
        </w:rPr>
        <w:t xml:space="preserve"> (pour les incapacités dont le taux est d’au moins 10%)</w:t>
      </w:r>
      <w:r w:rsidRPr="000E158D">
        <w:rPr>
          <w:rFonts w:cstheme="minorHAnsi"/>
          <w:sz w:val="24"/>
          <w:szCs w:val="24"/>
        </w:rPr>
        <w:t>. Une conception large du préjudice d’</w:t>
      </w:r>
      <w:r w:rsidR="002021D6" w:rsidRPr="000E158D">
        <w:rPr>
          <w:rFonts w:cstheme="minorHAnsi"/>
          <w:sz w:val="24"/>
          <w:szCs w:val="24"/>
        </w:rPr>
        <w:t>agrément, entendu comme celui qui résulte des troubles ressentis dans les conditions d’existence (</w:t>
      </w:r>
      <w:r w:rsidR="00827C7D" w:rsidRPr="000E158D">
        <w:rPr>
          <w:rFonts w:cstheme="minorHAnsi"/>
          <w:color w:val="0070C0"/>
          <w:sz w:val="24"/>
          <w:szCs w:val="24"/>
        </w:rPr>
        <w:t>C</w:t>
      </w:r>
      <w:r w:rsidR="002021D6" w:rsidRPr="000E158D">
        <w:rPr>
          <w:rFonts w:cstheme="minorHAnsi"/>
          <w:color w:val="0070C0"/>
          <w:sz w:val="24"/>
          <w:szCs w:val="24"/>
        </w:rPr>
        <w:t>iv. 2</w:t>
      </w:r>
      <w:r w:rsidR="002021D6" w:rsidRPr="000E158D">
        <w:rPr>
          <w:rFonts w:cstheme="minorHAnsi"/>
          <w:color w:val="0070C0"/>
          <w:sz w:val="24"/>
          <w:szCs w:val="24"/>
          <w:vertAlign w:val="superscript"/>
        </w:rPr>
        <w:t>ème</w:t>
      </w:r>
      <w:r w:rsidR="002021D6" w:rsidRPr="000E158D">
        <w:rPr>
          <w:rFonts w:cstheme="minorHAnsi"/>
          <w:color w:val="0070C0"/>
          <w:sz w:val="24"/>
          <w:szCs w:val="24"/>
        </w:rPr>
        <w:t xml:space="preserve"> 8 avril 2010, </w:t>
      </w:r>
      <w:r w:rsidR="00F363AE" w:rsidRPr="000E158D">
        <w:rPr>
          <w:rFonts w:cstheme="minorHAnsi"/>
          <w:color w:val="0070C0"/>
          <w:sz w:val="24"/>
          <w:szCs w:val="24"/>
        </w:rPr>
        <w:t>précité</w:t>
      </w:r>
      <w:r w:rsidR="002021D6" w:rsidRPr="000E158D">
        <w:rPr>
          <w:rFonts w:cstheme="minorHAnsi"/>
          <w:sz w:val="24"/>
          <w:szCs w:val="24"/>
        </w:rPr>
        <w:t xml:space="preserve">) </w:t>
      </w:r>
      <w:r w:rsidRPr="000E158D">
        <w:rPr>
          <w:rFonts w:cstheme="minorHAnsi"/>
          <w:sz w:val="24"/>
          <w:szCs w:val="24"/>
        </w:rPr>
        <w:t xml:space="preserve">permettait, en cas de faute inexcusable, </w:t>
      </w:r>
      <w:r w:rsidR="002021D6" w:rsidRPr="000E158D">
        <w:rPr>
          <w:rFonts w:cstheme="minorHAnsi"/>
          <w:sz w:val="24"/>
          <w:szCs w:val="24"/>
        </w:rPr>
        <w:t xml:space="preserve">d’assurer au salarié une indemnité complémentaire par référence à l’article L. 452-3 </w:t>
      </w:r>
      <w:r w:rsidR="00B01DAF" w:rsidRPr="000E158D">
        <w:rPr>
          <w:rFonts w:cstheme="minorHAnsi"/>
          <w:sz w:val="24"/>
          <w:szCs w:val="24"/>
        </w:rPr>
        <w:t>C. sécu. soc.</w:t>
      </w:r>
      <w:r w:rsidR="002021D6" w:rsidRPr="000E158D">
        <w:rPr>
          <w:rFonts w:cstheme="minorHAnsi"/>
          <w:sz w:val="24"/>
          <w:szCs w:val="24"/>
        </w:rPr>
        <w:t xml:space="preserve">. Suite à l’ouverture de </w:t>
      </w:r>
      <w:r w:rsidR="002021D6" w:rsidRPr="000E158D">
        <w:rPr>
          <w:rFonts w:cstheme="minorHAnsi"/>
          <w:sz w:val="24"/>
          <w:szCs w:val="24"/>
        </w:rPr>
        <w:lastRenderedPageBreak/>
        <w:t>cette liste par le Conseil constitutionnel, la Cour de cassation a entendu préciser sa position en s’appuyant encore, à mot</w:t>
      </w:r>
      <w:r w:rsidR="00B01DAF" w:rsidRPr="000E158D">
        <w:rPr>
          <w:rFonts w:cstheme="minorHAnsi"/>
          <w:sz w:val="24"/>
          <w:szCs w:val="24"/>
        </w:rPr>
        <w:t>s</w:t>
      </w:r>
      <w:r w:rsidR="002021D6" w:rsidRPr="000E158D">
        <w:rPr>
          <w:rFonts w:cstheme="minorHAnsi"/>
          <w:sz w:val="24"/>
          <w:szCs w:val="24"/>
        </w:rPr>
        <w:t xml:space="preserve"> couvert</w:t>
      </w:r>
      <w:r w:rsidR="00B01DAF" w:rsidRPr="000E158D">
        <w:rPr>
          <w:rFonts w:cstheme="minorHAnsi"/>
          <w:sz w:val="24"/>
          <w:szCs w:val="24"/>
        </w:rPr>
        <w:t>s</w:t>
      </w:r>
      <w:r w:rsidR="002021D6" w:rsidRPr="000E158D">
        <w:rPr>
          <w:rFonts w:cstheme="minorHAnsi"/>
          <w:sz w:val="24"/>
          <w:szCs w:val="24"/>
        </w:rPr>
        <w:t xml:space="preserve">, sur la </w:t>
      </w:r>
      <w:r w:rsidR="00B01DAF" w:rsidRPr="000E158D">
        <w:rPr>
          <w:rFonts w:cstheme="minorHAnsi"/>
          <w:sz w:val="24"/>
          <w:szCs w:val="24"/>
        </w:rPr>
        <w:t>« </w:t>
      </w:r>
      <w:r w:rsidR="002021D6" w:rsidRPr="000E158D">
        <w:rPr>
          <w:rFonts w:cstheme="minorHAnsi"/>
          <w:sz w:val="24"/>
          <w:szCs w:val="24"/>
        </w:rPr>
        <w:t xml:space="preserve">nomenclature </w:t>
      </w:r>
      <w:r w:rsidR="005F5CC0" w:rsidRPr="000E158D">
        <w:rPr>
          <w:rFonts w:cstheme="minorHAnsi"/>
          <w:sz w:val="24"/>
          <w:szCs w:val="24"/>
        </w:rPr>
        <w:t>Dintilhac</w:t>
      </w:r>
      <w:r w:rsidR="00B01DAF" w:rsidRPr="000E158D">
        <w:rPr>
          <w:rFonts w:cstheme="minorHAnsi"/>
          <w:sz w:val="24"/>
          <w:szCs w:val="24"/>
        </w:rPr>
        <w:t> »</w:t>
      </w:r>
      <w:r w:rsidR="002021D6" w:rsidRPr="000E158D">
        <w:rPr>
          <w:rFonts w:cstheme="minorHAnsi"/>
          <w:sz w:val="24"/>
          <w:szCs w:val="24"/>
        </w:rPr>
        <w:t xml:space="preserve">. </w:t>
      </w:r>
    </w:p>
    <w:p w14:paraId="658AD20C" w14:textId="77777777" w:rsidR="002021D6" w:rsidRPr="000E158D" w:rsidRDefault="002021D6" w:rsidP="00617770">
      <w:pPr>
        <w:jc w:val="both"/>
        <w:rPr>
          <w:rFonts w:cstheme="minorHAnsi"/>
          <w:sz w:val="24"/>
          <w:szCs w:val="24"/>
        </w:rPr>
      </w:pPr>
      <w:r w:rsidRPr="000E158D">
        <w:rPr>
          <w:rFonts w:cstheme="minorHAnsi"/>
          <w:sz w:val="24"/>
          <w:szCs w:val="24"/>
        </w:rPr>
        <w:t>Dans un des arrêts rendus le 4 avril 2012, la deuxième chambre civile affirme ainsi que l</w:t>
      </w:r>
      <w:r w:rsidR="007B0043" w:rsidRPr="000E158D">
        <w:rPr>
          <w:rFonts w:cstheme="minorHAnsi"/>
          <w:sz w:val="24"/>
          <w:szCs w:val="24"/>
        </w:rPr>
        <w:t xml:space="preserve">es indemnités journalières ne </w:t>
      </w:r>
      <w:r w:rsidRPr="000E158D">
        <w:rPr>
          <w:rFonts w:cstheme="minorHAnsi"/>
          <w:sz w:val="24"/>
          <w:szCs w:val="24"/>
        </w:rPr>
        <w:t xml:space="preserve">couvrent pas le déficit fonctionnel temporaire dont l’indemnisation peut être réclamée en cas de faute inexcusable sur le fondement de l’art. L. 452-3 </w:t>
      </w:r>
      <w:r w:rsidR="00B01DAF" w:rsidRPr="000E158D">
        <w:rPr>
          <w:rFonts w:cstheme="minorHAnsi"/>
          <w:sz w:val="24"/>
          <w:szCs w:val="24"/>
        </w:rPr>
        <w:t>C. sécu. soc.</w:t>
      </w:r>
      <w:r w:rsidR="006A6249" w:rsidRPr="000E158D">
        <w:rPr>
          <w:rFonts w:cstheme="minorHAnsi"/>
          <w:sz w:val="24"/>
          <w:szCs w:val="24"/>
        </w:rPr>
        <w:t xml:space="preserve"> </w:t>
      </w:r>
      <w:r w:rsidRPr="000E158D">
        <w:rPr>
          <w:rFonts w:cstheme="minorHAnsi"/>
          <w:sz w:val="24"/>
          <w:szCs w:val="24"/>
        </w:rPr>
        <w:t>tel qu’interprété à la lumière de la décision du Conseil constitutionnel</w:t>
      </w:r>
      <w:r w:rsidR="00F363AE" w:rsidRPr="000E158D">
        <w:rPr>
          <w:rFonts w:cstheme="minorHAnsi"/>
          <w:sz w:val="24"/>
          <w:szCs w:val="24"/>
        </w:rPr>
        <w:t xml:space="preserve"> (</w:t>
      </w:r>
      <w:r w:rsidR="00F363AE" w:rsidRPr="000E158D">
        <w:rPr>
          <w:rFonts w:cstheme="minorHAnsi"/>
          <w:color w:val="0070C0"/>
          <w:sz w:val="24"/>
          <w:szCs w:val="24"/>
        </w:rPr>
        <w:t>Civ. 2</w:t>
      </w:r>
      <w:r w:rsidR="00F363AE" w:rsidRPr="000E158D">
        <w:rPr>
          <w:rFonts w:cstheme="minorHAnsi"/>
          <w:color w:val="0070C0"/>
          <w:sz w:val="24"/>
          <w:szCs w:val="24"/>
          <w:vertAlign w:val="superscript"/>
        </w:rPr>
        <w:t>ème</w:t>
      </w:r>
      <w:r w:rsidR="00F363AE" w:rsidRPr="000E158D">
        <w:rPr>
          <w:rFonts w:cstheme="minorHAnsi"/>
          <w:color w:val="0070C0"/>
          <w:sz w:val="24"/>
          <w:szCs w:val="24"/>
        </w:rPr>
        <w:t xml:space="preserve"> 4 avril 2012, n° 11-14311 et 11-14594</w:t>
      </w:r>
      <w:r w:rsidR="00893FBA" w:rsidRPr="000E158D">
        <w:rPr>
          <w:rFonts w:cstheme="minorHAnsi"/>
          <w:sz w:val="24"/>
          <w:szCs w:val="24"/>
        </w:rPr>
        <w:t xml:space="preserve">). </w:t>
      </w:r>
      <w:r w:rsidRPr="000E158D">
        <w:rPr>
          <w:rFonts w:cstheme="minorHAnsi"/>
          <w:sz w:val="24"/>
          <w:szCs w:val="24"/>
        </w:rPr>
        <w:t>Cette solution paraît tout à fait justifiée, si l’on considère que les indemnités journalières, calculée</w:t>
      </w:r>
      <w:r w:rsidR="006A6249" w:rsidRPr="000E158D">
        <w:rPr>
          <w:rFonts w:cstheme="minorHAnsi"/>
          <w:sz w:val="24"/>
          <w:szCs w:val="24"/>
        </w:rPr>
        <w:t>s</w:t>
      </w:r>
      <w:r w:rsidRPr="000E158D">
        <w:rPr>
          <w:rFonts w:cstheme="minorHAnsi"/>
          <w:sz w:val="24"/>
          <w:szCs w:val="24"/>
        </w:rPr>
        <w:t xml:space="preserve"> sur la base du salaire perçu par le travailleur avant son arrêt de travail, </w:t>
      </w:r>
      <w:r w:rsidR="006A6249" w:rsidRPr="000E158D">
        <w:rPr>
          <w:rFonts w:cstheme="minorHAnsi"/>
          <w:sz w:val="24"/>
          <w:szCs w:val="24"/>
        </w:rPr>
        <w:t>ont pour objet</w:t>
      </w:r>
      <w:r w:rsidRPr="000E158D">
        <w:rPr>
          <w:rFonts w:cstheme="minorHAnsi"/>
          <w:sz w:val="24"/>
          <w:szCs w:val="24"/>
        </w:rPr>
        <w:t xml:space="preserve"> de compenser </w:t>
      </w:r>
      <w:r w:rsidR="00C361A4" w:rsidRPr="000E158D">
        <w:rPr>
          <w:rFonts w:cstheme="minorHAnsi"/>
          <w:sz w:val="24"/>
          <w:szCs w:val="24"/>
        </w:rPr>
        <w:t>la</w:t>
      </w:r>
      <w:r w:rsidRPr="000E158D">
        <w:rPr>
          <w:rFonts w:cstheme="minorHAnsi"/>
          <w:sz w:val="24"/>
          <w:szCs w:val="24"/>
        </w:rPr>
        <w:t xml:space="preserve"> perte de</w:t>
      </w:r>
      <w:r w:rsidR="00C361A4" w:rsidRPr="000E158D">
        <w:rPr>
          <w:rFonts w:cstheme="minorHAnsi"/>
          <w:sz w:val="24"/>
          <w:szCs w:val="24"/>
        </w:rPr>
        <w:t>s</w:t>
      </w:r>
      <w:r w:rsidRPr="000E158D">
        <w:rPr>
          <w:rFonts w:cstheme="minorHAnsi"/>
          <w:sz w:val="24"/>
          <w:szCs w:val="24"/>
        </w:rPr>
        <w:t xml:space="preserve"> revenus </w:t>
      </w:r>
      <w:r w:rsidR="00C361A4" w:rsidRPr="000E158D">
        <w:rPr>
          <w:rFonts w:cstheme="minorHAnsi"/>
          <w:sz w:val="24"/>
          <w:szCs w:val="24"/>
        </w:rPr>
        <w:t>consécutive à l’arrêt de travail</w:t>
      </w:r>
      <w:r w:rsidRPr="000E158D">
        <w:rPr>
          <w:rFonts w:cstheme="minorHAnsi"/>
          <w:sz w:val="24"/>
          <w:szCs w:val="24"/>
        </w:rPr>
        <w:t>. Lié</w:t>
      </w:r>
      <w:r w:rsidR="00C361A4" w:rsidRPr="000E158D">
        <w:rPr>
          <w:rFonts w:cstheme="minorHAnsi"/>
          <w:sz w:val="24"/>
          <w:szCs w:val="24"/>
        </w:rPr>
        <w:t xml:space="preserve"> à la sphère personnelle du </w:t>
      </w:r>
      <w:r w:rsidRPr="000E158D">
        <w:rPr>
          <w:rFonts w:cstheme="minorHAnsi"/>
          <w:sz w:val="24"/>
          <w:szCs w:val="24"/>
        </w:rPr>
        <w:t>préjudice</w:t>
      </w:r>
      <w:r w:rsidR="00C361A4" w:rsidRPr="000E158D">
        <w:rPr>
          <w:rFonts w:cstheme="minorHAnsi"/>
          <w:sz w:val="24"/>
          <w:szCs w:val="24"/>
        </w:rPr>
        <w:t xml:space="preserve"> subit</w:t>
      </w:r>
      <w:r w:rsidRPr="000E158D">
        <w:rPr>
          <w:rFonts w:cstheme="minorHAnsi"/>
          <w:sz w:val="24"/>
          <w:szCs w:val="24"/>
        </w:rPr>
        <w:t xml:space="preserve">, le déficit fonctionnel temporaire </w:t>
      </w:r>
      <w:r w:rsidR="00B01DAF" w:rsidRPr="000E158D">
        <w:rPr>
          <w:rFonts w:cstheme="minorHAnsi"/>
          <w:sz w:val="24"/>
          <w:szCs w:val="24"/>
        </w:rPr>
        <w:t xml:space="preserve">doit </w:t>
      </w:r>
      <w:r w:rsidRPr="000E158D">
        <w:rPr>
          <w:rFonts w:cstheme="minorHAnsi"/>
          <w:sz w:val="24"/>
          <w:szCs w:val="24"/>
        </w:rPr>
        <w:t>constitue</w:t>
      </w:r>
      <w:r w:rsidR="00B01DAF" w:rsidRPr="000E158D">
        <w:rPr>
          <w:rFonts w:cstheme="minorHAnsi"/>
          <w:sz w:val="24"/>
          <w:szCs w:val="24"/>
        </w:rPr>
        <w:t>r</w:t>
      </w:r>
      <w:r w:rsidRPr="000E158D">
        <w:rPr>
          <w:rFonts w:cstheme="minorHAnsi"/>
          <w:sz w:val="24"/>
          <w:szCs w:val="24"/>
        </w:rPr>
        <w:t xml:space="preserve"> un </w:t>
      </w:r>
      <w:r w:rsidR="00B01DAF" w:rsidRPr="000E158D">
        <w:rPr>
          <w:rFonts w:cstheme="minorHAnsi"/>
          <w:sz w:val="24"/>
          <w:szCs w:val="24"/>
        </w:rPr>
        <w:t>poste</w:t>
      </w:r>
      <w:r w:rsidRPr="000E158D">
        <w:rPr>
          <w:rFonts w:cstheme="minorHAnsi"/>
          <w:sz w:val="24"/>
          <w:szCs w:val="24"/>
        </w:rPr>
        <w:t xml:space="preserve"> autonome</w:t>
      </w:r>
      <w:r w:rsidR="00B01DAF" w:rsidRPr="000E158D">
        <w:rPr>
          <w:rFonts w:cstheme="minorHAnsi"/>
          <w:sz w:val="24"/>
          <w:szCs w:val="24"/>
        </w:rPr>
        <w:t xml:space="preserve"> d’indemnisation</w:t>
      </w:r>
      <w:r w:rsidRPr="000E158D">
        <w:rPr>
          <w:rFonts w:cstheme="minorHAnsi"/>
          <w:sz w:val="24"/>
          <w:szCs w:val="24"/>
        </w:rPr>
        <w:t xml:space="preserve">. </w:t>
      </w:r>
    </w:p>
    <w:p w14:paraId="19A9078B" w14:textId="77777777" w:rsidR="007B0043" w:rsidRPr="000E158D" w:rsidRDefault="007B0043" w:rsidP="00617770">
      <w:pPr>
        <w:jc w:val="both"/>
        <w:rPr>
          <w:rFonts w:cstheme="minorHAnsi"/>
          <w:sz w:val="24"/>
          <w:szCs w:val="24"/>
        </w:rPr>
      </w:pPr>
      <w:r w:rsidRPr="000E158D">
        <w:rPr>
          <w:rFonts w:cstheme="minorHAnsi"/>
          <w:sz w:val="24"/>
          <w:szCs w:val="24"/>
        </w:rPr>
        <w:t>En revanche, la Cour de cassation affirme que l</w:t>
      </w:r>
      <w:r w:rsidR="002021D6" w:rsidRPr="000E158D">
        <w:rPr>
          <w:rFonts w:cstheme="minorHAnsi"/>
          <w:sz w:val="24"/>
          <w:szCs w:val="24"/>
        </w:rPr>
        <w:t>e déficit fonctionnel permanent</w:t>
      </w:r>
      <w:r w:rsidRPr="000E158D">
        <w:rPr>
          <w:rFonts w:cstheme="minorHAnsi"/>
          <w:sz w:val="24"/>
          <w:szCs w:val="24"/>
        </w:rPr>
        <w:t xml:space="preserve"> se trouve couvert par les prestations du livre IV</w:t>
      </w:r>
      <w:r w:rsidR="000001FD" w:rsidRPr="000E158D">
        <w:rPr>
          <w:rFonts w:cstheme="minorHAnsi"/>
          <w:sz w:val="24"/>
          <w:szCs w:val="24"/>
        </w:rPr>
        <w:t xml:space="preserve"> du code de la sécurité sociale</w:t>
      </w:r>
      <w:r w:rsidR="002021D6" w:rsidRPr="000E158D">
        <w:rPr>
          <w:rFonts w:cstheme="minorHAnsi"/>
          <w:sz w:val="24"/>
          <w:szCs w:val="24"/>
        </w:rPr>
        <w:t>.</w:t>
      </w:r>
      <w:r w:rsidRPr="000E158D">
        <w:rPr>
          <w:rFonts w:cstheme="minorHAnsi"/>
          <w:sz w:val="24"/>
          <w:szCs w:val="24"/>
        </w:rPr>
        <w:t xml:space="preserve"> </w:t>
      </w:r>
      <w:r w:rsidR="000001FD" w:rsidRPr="000E158D">
        <w:rPr>
          <w:rFonts w:cstheme="minorHAnsi"/>
          <w:sz w:val="24"/>
          <w:szCs w:val="24"/>
        </w:rPr>
        <w:t>Pour la Cour, « </w:t>
      </w:r>
      <w:r w:rsidR="000001FD" w:rsidRPr="000E158D">
        <w:rPr>
          <w:rFonts w:cstheme="minorHAnsi"/>
          <w:i/>
          <w:sz w:val="24"/>
          <w:szCs w:val="24"/>
        </w:rPr>
        <w:t>la rente versée à la victime d'un accident du travail ou d'une maladie professionnelle dont le taux d'incapacité est supérieur à 10 % indemnise, d'une part, les pertes de gains professionnels et l'incidence professionnelle de l'incapacité et, d'autre part, le déficit fonctionnel permanent</w:t>
      </w:r>
      <w:r w:rsidR="000001FD" w:rsidRPr="000E158D">
        <w:rPr>
          <w:rFonts w:cstheme="minorHAnsi"/>
          <w:sz w:val="24"/>
          <w:szCs w:val="24"/>
        </w:rPr>
        <w:t> » (</w:t>
      </w:r>
      <w:r w:rsidR="000001FD" w:rsidRPr="000E158D">
        <w:rPr>
          <w:rFonts w:cstheme="minorHAnsi"/>
          <w:color w:val="0070C0"/>
          <w:sz w:val="24"/>
          <w:szCs w:val="24"/>
        </w:rPr>
        <w:t>Civ. 2</w:t>
      </w:r>
      <w:r w:rsidR="000001FD" w:rsidRPr="000E158D">
        <w:rPr>
          <w:rFonts w:cstheme="minorHAnsi"/>
          <w:color w:val="0070C0"/>
          <w:sz w:val="24"/>
          <w:szCs w:val="24"/>
          <w:vertAlign w:val="superscript"/>
        </w:rPr>
        <w:t>ème</w:t>
      </w:r>
      <w:r w:rsidR="000001FD" w:rsidRPr="000E158D">
        <w:rPr>
          <w:rFonts w:cstheme="minorHAnsi"/>
          <w:color w:val="0070C0"/>
          <w:sz w:val="24"/>
          <w:szCs w:val="24"/>
        </w:rPr>
        <w:t xml:space="preserve"> 4 avril 2012, n° 11-14311 et 11-14594</w:t>
      </w:r>
      <w:r w:rsidR="00893FBA" w:rsidRPr="000E158D">
        <w:rPr>
          <w:rFonts w:cstheme="minorHAnsi"/>
          <w:color w:val="0070C0"/>
          <w:sz w:val="24"/>
          <w:szCs w:val="24"/>
        </w:rPr>
        <w:t xml:space="preserve"> et n° 11-15393</w:t>
      </w:r>
      <w:r w:rsidR="000001FD" w:rsidRPr="000E158D">
        <w:rPr>
          <w:rFonts w:cstheme="minorHAnsi"/>
          <w:sz w:val="24"/>
          <w:szCs w:val="24"/>
        </w:rPr>
        <w:t>).</w:t>
      </w:r>
      <w:r w:rsidR="00C361A4" w:rsidRPr="000E158D">
        <w:rPr>
          <w:rFonts w:cstheme="minorHAnsi"/>
          <w:sz w:val="24"/>
          <w:szCs w:val="24"/>
        </w:rPr>
        <w:t xml:space="preserve"> La rente, contrairement aux indemnités journalières, a donc selon la Cour un double objet, tant professionnel que personnel. La même solution devrait être retenue à propos de l’indemnité en capital pour les incapacités de moins de 10%. </w:t>
      </w:r>
      <w:r w:rsidRPr="000E158D">
        <w:rPr>
          <w:rFonts w:cstheme="minorHAnsi"/>
          <w:sz w:val="24"/>
          <w:szCs w:val="24"/>
        </w:rPr>
        <w:t>Or, e</w:t>
      </w:r>
      <w:r w:rsidR="00380CBD" w:rsidRPr="000E158D">
        <w:rPr>
          <w:rFonts w:cstheme="minorHAnsi"/>
          <w:sz w:val="24"/>
          <w:szCs w:val="24"/>
        </w:rPr>
        <w:t xml:space="preserve">n cas de faute inexcusable, </w:t>
      </w:r>
      <w:r w:rsidR="00C361A4" w:rsidRPr="000E158D">
        <w:rPr>
          <w:rFonts w:cstheme="minorHAnsi"/>
          <w:sz w:val="24"/>
          <w:szCs w:val="24"/>
        </w:rPr>
        <w:t>ces</w:t>
      </w:r>
      <w:r w:rsidR="00380CBD" w:rsidRPr="000E158D">
        <w:rPr>
          <w:rFonts w:cstheme="minorHAnsi"/>
          <w:sz w:val="24"/>
          <w:szCs w:val="24"/>
        </w:rPr>
        <w:t xml:space="preserve"> prestation </w:t>
      </w:r>
      <w:r w:rsidR="00C361A4" w:rsidRPr="000E158D">
        <w:rPr>
          <w:rFonts w:cstheme="minorHAnsi"/>
          <w:sz w:val="24"/>
          <w:szCs w:val="24"/>
        </w:rPr>
        <w:t>sont</w:t>
      </w:r>
      <w:r w:rsidR="00380CBD" w:rsidRPr="000E158D">
        <w:rPr>
          <w:rFonts w:cstheme="minorHAnsi"/>
          <w:sz w:val="24"/>
          <w:szCs w:val="24"/>
        </w:rPr>
        <w:t xml:space="preserve"> majorée</w:t>
      </w:r>
      <w:r w:rsidR="00C361A4" w:rsidRPr="000E158D">
        <w:rPr>
          <w:rFonts w:cstheme="minorHAnsi"/>
          <w:sz w:val="24"/>
          <w:szCs w:val="24"/>
        </w:rPr>
        <w:t>s</w:t>
      </w:r>
      <w:r w:rsidR="00380CBD" w:rsidRPr="000E158D">
        <w:rPr>
          <w:rFonts w:cstheme="minorHAnsi"/>
          <w:sz w:val="24"/>
          <w:szCs w:val="24"/>
        </w:rPr>
        <w:t xml:space="preserve"> mais demeure</w:t>
      </w:r>
      <w:r w:rsidR="00C361A4" w:rsidRPr="000E158D">
        <w:rPr>
          <w:rFonts w:cstheme="minorHAnsi"/>
          <w:sz w:val="24"/>
          <w:szCs w:val="24"/>
        </w:rPr>
        <w:t>nt</w:t>
      </w:r>
      <w:r w:rsidR="00380CBD" w:rsidRPr="000E158D">
        <w:rPr>
          <w:rFonts w:cstheme="minorHAnsi"/>
          <w:sz w:val="24"/>
          <w:szCs w:val="24"/>
        </w:rPr>
        <w:t xml:space="preserve"> plafonnée</w:t>
      </w:r>
      <w:r w:rsidR="00C361A4" w:rsidRPr="000E158D">
        <w:rPr>
          <w:rFonts w:cstheme="minorHAnsi"/>
          <w:sz w:val="24"/>
          <w:szCs w:val="24"/>
        </w:rPr>
        <w:t>s</w:t>
      </w:r>
      <w:r w:rsidR="00380CBD" w:rsidRPr="000E158D">
        <w:rPr>
          <w:rFonts w:cstheme="minorHAnsi"/>
          <w:sz w:val="24"/>
          <w:szCs w:val="24"/>
        </w:rPr>
        <w:t xml:space="preserve">. La réparation intégrale du préjudice n’est pas assurée, ce que le Conseil constitutionnel n’a pas entendu censurer. Dans sa décision QPC du 18 juin 2010, la haute juridiction retient en effet </w:t>
      </w:r>
      <w:r w:rsidR="00C361A4" w:rsidRPr="000E158D">
        <w:rPr>
          <w:rFonts w:cstheme="minorHAnsi"/>
          <w:sz w:val="24"/>
          <w:szCs w:val="24"/>
        </w:rPr>
        <w:t xml:space="preserve">que </w:t>
      </w:r>
      <w:r w:rsidR="00380CBD" w:rsidRPr="000E158D">
        <w:rPr>
          <w:rFonts w:cstheme="minorHAnsi"/>
          <w:sz w:val="24"/>
          <w:szCs w:val="24"/>
        </w:rPr>
        <w:t>ce plafonnement « </w:t>
      </w:r>
      <w:r w:rsidR="00380CBD" w:rsidRPr="000E158D">
        <w:rPr>
          <w:rFonts w:cstheme="minorHAnsi"/>
          <w:i/>
          <w:sz w:val="24"/>
          <w:szCs w:val="24"/>
        </w:rPr>
        <w:t>n’institue pas une restriction disproportionnée aux des victimes d’accident du travail ou de maladie professionnelle</w:t>
      </w:r>
      <w:r w:rsidR="00380CBD" w:rsidRPr="000E158D">
        <w:rPr>
          <w:rFonts w:cstheme="minorHAnsi"/>
          <w:sz w:val="24"/>
          <w:szCs w:val="24"/>
        </w:rPr>
        <w:t> » (considérant n° 17)</w:t>
      </w:r>
      <w:r w:rsidR="00B01DAF" w:rsidRPr="000E158D">
        <w:rPr>
          <w:rFonts w:cstheme="minorHAnsi"/>
          <w:sz w:val="24"/>
          <w:szCs w:val="24"/>
        </w:rPr>
        <w:t xml:space="preserve">. </w:t>
      </w:r>
      <w:r w:rsidRPr="000E158D">
        <w:rPr>
          <w:rFonts w:cstheme="minorHAnsi"/>
          <w:sz w:val="24"/>
          <w:szCs w:val="24"/>
        </w:rPr>
        <w:t>Et la Cour de cassation d’en déduire qu’un préjudice professionnel ne peut faire l’objet d’une indemnisation complémentaire distincte de la rente par référence à</w:t>
      </w:r>
      <w:r w:rsidR="00F363AE" w:rsidRPr="000E158D">
        <w:rPr>
          <w:rFonts w:cstheme="minorHAnsi"/>
          <w:sz w:val="24"/>
          <w:szCs w:val="24"/>
        </w:rPr>
        <w:t xml:space="preserve"> l’art. L. 452-3 C. sécu. soc.</w:t>
      </w:r>
      <w:r w:rsidRPr="000E158D">
        <w:rPr>
          <w:rFonts w:cstheme="minorHAnsi"/>
          <w:sz w:val="24"/>
          <w:szCs w:val="24"/>
        </w:rPr>
        <w:t>, « </w:t>
      </w:r>
      <w:r w:rsidRPr="000E158D">
        <w:rPr>
          <w:rFonts w:cstheme="minorHAnsi"/>
          <w:i/>
          <w:sz w:val="24"/>
          <w:szCs w:val="24"/>
        </w:rPr>
        <w:t>le mécanisme d'indemnisation dérogeant au droit commun de la responsabilité et ne garantissant pas la réparation de l'intégralité des préjudices résultant de l'accident</w:t>
      </w:r>
      <w:r w:rsidRPr="000E158D">
        <w:rPr>
          <w:rFonts w:cstheme="minorHAnsi"/>
          <w:sz w:val="24"/>
          <w:szCs w:val="24"/>
        </w:rPr>
        <w:t> » (</w:t>
      </w:r>
      <w:r w:rsidRPr="000E158D">
        <w:rPr>
          <w:rFonts w:cstheme="minorHAnsi"/>
          <w:color w:val="0070C0"/>
          <w:sz w:val="24"/>
          <w:szCs w:val="24"/>
        </w:rPr>
        <w:t>Civ. 2</w:t>
      </w:r>
      <w:r w:rsidRPr="000E158D">
        <w:rPr>
          <w:rFonts w:cstheme="minorHAnsi"/>
          <w:color w:val="0070C0"/>
          <w:sz w:val="24"/>
          <w:szCs w:val="24"/>
          <w:vertAlign w:val="superscript"/>
        </w:rPr>
        <w:t>ème</w:t>
      </w:r>
      <w:r w:rsidRPr="000E158D">
        <w:rPr>
          <w:rFonts w:cstheme="minorHAnsi"/>
          <w:color w:val="0070C0"/>
          <w:sz w:val="24"/>
          <w:szCs w:val="24"/>
        </w:rPr>
        <w:t xml:space="preserve"> 13 octobre 2011, n° 10-15649</w:t>
      </w:r>
      <w:r w:rsidRPr="000E158D">
        <w:rPr>
          <w:rFonts w:cstheme="minorHAnsi"/>
          <w:sz w:val="24"/>
          <w:szCs w:val="24"/>
        </w:rPr>
        <w:t xml:space="preserve">). La même solution s’impose donc pour le déficit fonctionnel permanent. </w:t>
      </w:r>
    </w:p>
    <w:p w14:paraId="04930DF5" w14:textId="77777777" w:rsidR="00380CBD" w:rsidRPr="000E158D" w:rsidRDefault="00380CBD" w:rsidP="00617770">
      <w:pPr>
        <w:jc w:val="both"/>
        <w:rPr>
          <w:rFonts w:cstheme="minorHAnsi"/>
          <w:sz w:val="24"/>
          <w:szCs w:val="24"/>
        </w:rPr>
      </w:pPr>
      <w:r w:rsidRPr="000E158D">
        <w:rPr>
          <w:rFonts w:cstheme="minorHAnsi"/>
          <w:sz w:val="24"/>
          <w:szCs w:val="24"/>
        </w:rPr>
        <w:t xml:space="preserve">Reste qu’on peut se demander si la rente ou </w:t>
      </w:r>
      <w:r w:rsidR="007B0043" w:rsidRPr="000E158D">
        <w:rPr>
          <w:rFonts w:cstheme="minorHAnsi"/>
          <w:sz w:val="24"/>
          <w:szCs w:val="24"/>
        </w:rPr>
        <w:t>le</w:t>
      </w:r>
      <w:r w:rsidRPr="000E158D">
        <w:rPr>
          <w:rFonts w:cstheme="minorHAnsi"/>
          <w:sz w:val="24"/>
          <w:szCs w:val="24"/>
        </w:rPr>
        <w:t xml:space="preserve"> capital concerne bien la sphère personnelle du préjudice en sus de la sphère professionnelle et patrimoniale. </w:t>
      </w:r>
      <w:r w:rsidR="00551252" w:rsidRPr="000E158D">
        <w:rPr>
          <w:rFonts w:cstheme="minorHAnsi"/>
          <w:sz w:val="24"/>
          <w:szCs w:val="24"/>
        </w:rPr>
        <w:t xml:space="preserve">L’objet de cette prestation n’est pas </w:t>
      </w:r>
      <w:r w:rsidR="007B0043" w:rsidRPr="000E158D">
        <w:rPr>
          <w:rFonts w:cstheme="minorHAnsi"/>
          <w:sz w:val="24"/>
          <w:szCs w:val="24"/>
        </w:rPr>
        <w:t>en tant que tel</w:t>
      </w:r>
      <w:r w:rsidR="00551252" w:rsidRPr="000E158D">
        <w:rPr>
          <w:rFonts w:cstheme="minorHAnsi"/>
          <w:sz w:val="24"/>
          <w:szCs w:val="24"/>
        </w:rPr>
        <w:t xml:space="preserve"> défini par le Code de la sécurité sociale. Quant aux modalités de calcul, si l</w:t>
      </w:r>
      <w:r w:rsidR="00B01DAF" w:rsidRPr="000E158D">
        <w:rPr>
          <w:rFonts w:cstheme="minorHAnsi"/>
          <w:sz w:val="24"/>
          <w:szCs w:val="24"/>
        </w:rPr>
        <w:t>e capital se trouve fixé</w:t>
      </w:r>
      <w:r w:rsidR="00551252" w:rsidRPr="000E158D">
        <w:rPr>
          <w:rFonts w:cstheme="minorHAnsi"/>
          <w:sz w:val="24"/>
          <w:szCs w:val="24"/>
        </w:rPr>
        <w:t xml:space="preserve"> forfaitairement, la rente </w:t>
      </w:r>
      <w:r w:rsidR="00B01DAF" w:rsidRPr="000E158D">
        <w:rPr>
          <w:rFonts w:cstheme="minorHAnsi"/>
          <w:sz w:val="24"/>
          <w:szCs w:val="24"/>
        </w:rPr>
        <w:t>se détermine</w:t>
      </w:r>
      <w:r w:rsidR="00551252" w:rsidRPr="000E158D">
        <w:rPr>
          <w:rFonts w:cstheme="minorHAnsi"/>
          <w:sz w:val="24"/>
          <w:szCs w:val="24"/>
        </w:rPr>
        <w:t xml:space="preserve"> par référence au salaire.</w:t>
      </w:r>
      <w:r w:rsidRPr="000E158D">
        <w:rPr>
          <w:rFonts w:cstheme="minorHAnsi"/>
          <w:sz w:val="24"/>
          <w:szCs w:val="24"/>
        </w:rPr>
        <w:t xml:space="preserve"> </w:t>
      </w:r>
      <w:r w:rsidR="007B0043" w:rsidRPr="000E158D">
        <w:rPr>
          <w:rFonts w:cstheme="minorHAnsi"/>
          <w:sz w:val="24"/>
          <w:szCs w:val="24"/>
        </w:rPr>
        <w:t xml:space="preserve">Relevons alors que </w:t>
      </w:r>
      <w:r w:rsidR="00B01DAF" w:rsidRPr="000E158D">
        <w:rPr>
          <w:rFonts w:cstheme="minorHAnsi"/>
          <w:sz w:val="24"/>
          <w:szCs w:val="24"/>
        </w:rPr>
        <w:t>l</w:t>
      </w:r>
      <w:r w:rsidRPr="000E158D">
        <w:rPr>
          <w:rFonts w:cstheme="minorHAnsi"/>
          <w:sz w:val="24"/>
          <w:szCs w:val="24"/>
        </w:rPr>
        <w:t xml:space="preserve">e Conseil constitutionnel lui-même, dans sa décision </w:t>
      </w:r>
      <w:r w:rsidR="00B01DAF" w:rsidRPr="000E158D">
        <w:rPr>
          <w:rFonts w:cstheme="minorHAnsi"/>
          <w:sz w:val="24"/>
          <w:szCs w:val="24"/>
        </w:rPr>
        <w:t>du 18 juin 2010</w:t>
      </w:r>
      <w:r w:rsidRPr="000E158D">
        <w:rPr>
          <w:rFonts w:cstheme="minorHAnsi"/>
          <w:sz w:val="24"/>
          <w:szCs w:val="24"/>
        </w:rPr>
        <w:t>, parle, à propos de la majoration du capital ou de la rente, d’une « </w:t>
      </w:r>
      <w:r w:rsidRPr="000E158D">
        <w:rPr>
          <w:rFonts w:cstheme="minorHAnsi"/>
          <w:i/>
          <w:sz w:val="24"/>
          <w:szCs w:val="24"/>
        </w:rPr>
        <w:t>indemnité destinée à compenser la perte de salaire résultant de l’incapacité</w:t>
      </w:r>
      <w:r w:rsidRPr="000E158D">
        <w:rPr>
          <w:rFonts w:cstheme="minorHAnsi"/>
          <w:sz w:val="24"/>
          <w:szCs w:val="24"/>
        </w:rPr>
        <w:t> » (considérant n° 17). Dans ces conditions, la Cour de cassation n’au</w:t>
      </w:r>
      <w:r w:rsidR="00B01DAF" w:rsidRPr="000E158D">
        <w:rPr>
          <w:rFonts w:cstheme="minorHAnsi"/>
          <w:sz w:val="24"/>
          <w:szCs w:val="24"/>
        </w:rPr>
        <w:t xml:space="preserve">rait-elle pas pu retenir que le capital ou la rente </w:t>
      </w:r>
      <w:r w:rsidRPr="000E158D">
        <w:rPr>
          <w:rFonts w:cstheme="minorHAnsi"/>
          <w:sz w:val="24"/>
          <w:szCs w:val="24"/>
        </w:rPr>
        <w:t>major</w:t>
      </w:r>
      <w:r w:rsidR="00B01DAF" w:rsidRPr="000E158D">
        <w:rPr>
          <w:rFonts w:cstheme="minorHAnsi"/>
          <w:sz w:val="24"/>
          <w:szCs w:val="24"/>
        </w:rPr>
        <w:t xml:space="preserve">é </w:t>
      </w:r>
      <w:r w:rsidR="000001FD" w:rsidRPr="000E158D">
        <w:rPr>
          <w:rFonts w:cstheme="minorHAnsi"/>
          <w:sz w:val="24"/>
          <w:szCs w:val="24"/>
        </w:rPr>
        <w:t xml:space="preserve">ne </w:t>
      </w:r>
      <w:r w:rsidRPr="000E158D">
        <w:rPr>
          <w:rFonts w:cstheme="minorHAnsi"/>
          <w:sz w:val="24"/>
          <w:szCs w:val="24"/>
        </w:rPr>
        <w:t xml:space="preserve">couvre </w:t>
      </w:r>
      <w:r w:rsidR="000001FD" w:rsidRPr="000E158D">
        <w:rPr>
          <w:rFonts w:cstheme="minorHAnsi"/>
          <w:sz w:val="24"/>
          <w:szCs w:val="24"/>
        </w:rPr>
        <w:t>que</w:t>
      </w:r>
      <w:r w:rsidRPr="000E158D">
        <w:rPr>
          <w:rFonts w:cstheme="minorHAnsi"/>
          <w:sz w:val="24"/>
          <w:szCs w:val="24"/>
        </w:rPr>
        <w:t xml:space="preserve"> des préjudices d’ordre pat</w:t>
      </w:r>
      <w:r w:rsidR="004872AC" w:rsidRPr="000E158D">
        <w:rPr>
          <w:rFonts w:cstheme="minorHAnsi"/>
          <w:sz w:val="24"/>
          <w:szCs w:val="24"/>
        </w:rPr>
        <w:t>rimonial</w:t>
      </w:r>
      <w:r w:rsidR="000001FD" w:rsidRPr="000E158D">
        <w:rPr>
          <w:rFonts w:cstheme="minorHAnsi"/>
          <w:sz w:val="24"/>
          <w:szCs w:val="24"/>
        </w:rPr>
        <w:t> ? L</w:t>
      </w:r>
      <w:r w:rsidR="004872AC" w:rsidRPr="000E158D">
        <w:rPr>
          <w:rFonts w:cstheme="minorHAnsi"/>
          <w:sz w:val="24"/>
          <w:szCs w:val="24"/>
        </w:rPr>
        <w:t xml:space="preserve">e déficit fonctionnel permanent </w:t>
      </w:r>
      <w:r w:rsidR="000001FD" w:rsidRPr="000E158D">
        <w:rPr>
          <w:rFonts w:cstheme="minorHAnsi"/>
          <w:sz w:val="24"/>
          <w:szCs w:val="24"/>
        </w:rPr>
        <w:t>aurait alors pu</w:t>
      </w:r>
      <w:r w:rsidR="004872AC" w:rsidRPr="000E158D">
        <w:rPr>
          <w:rFonts w:cstheme="minorHAnsi"/>
          <w:sz w:val="24"/>
          <w:szCs w:val="24"/>
        </w:rPr>
        <w:t xml:space="preserve"> être détaché </w:t>
      </w:r>
      <w:r w:rsidR="000001FD" w:rsidRPr="000E158D">
        <w:rPr>
          <w:rFonts w:cstheme="minorHAnsi"/>
          <w:sz w:val="24"/>
          <w:szCs w:val="24"/>
        </w:rPr>
        <w:t xml:space="preserve">de ces prestations </w:t>
      </w:r>
      <w:r w:rsidR="004872AC" w:rsidRPr="000E158D">
        <w:rPr>
          <w:rFonts w:cstheme="minorHAnsi"/>
          <w:sz w:val="24"/>
          <w:szCs w:val="24"/>
        </w:rPr>
        <w:t>pour faire l’objet d’</w:t>
      </w:r>
      <w:r w:rsidR="00B01DAF" w:rsidRPr="000E158D">
        <w:rPr>
          <w:rFonts w:cstheme="minorHAnsi"/>
          <w:sz w:val="24"/>
          <w:szCs w:val="24"/>
        </w:rPr>
        <w:t>une indemnisation autonome</w:t>
      </w:r>
      <w:r w:rsidR="004872AC" w:rsidRPr="000E158D">
        <w:rPr>
          <w:rFonts w:cstheme="minorHAnsi"/>
          <w:sz w:val="24"/>
          <w:szCs w:val="24"/>
        </w:rPr>
        <w:t xml:space="preserve"> sur le fondement de l’article L. 452-3 </w:t>
      </w:r>
      <w:r w:rsidR="00B01DAF" w:rsidRPr="000E158D">
        <w:rPr>
          <w:rFonts w:cstheme="minorHAnsi"/>
          <w:sz w:val="24"/>
          <w:szCs w:val="24"/>
        </w:rPr>
        <w:t xml:space="preserve">C. sécu. soc. </w:t>
      </w:r>
      <w:r w:rsidR="000001FD" w:rsidRPr="000E158D">
        <w:rPr>
          <w:rFonts w:cstheme="minorHAnsi"/>
          <w:sz w:val="24"/>
          <w:szCs w:val="24"/>
        </w:rPr>
        <w:t>« </w:t>
      </w:r>
      <w:r w:rsidR="004872AC" w:rsidRPr="000E158D">
        <w:rPr>
          <w:rFonts w:cstheme="minorHAnsi"/>
          <w:sz w:val="24"/>
          <w:szCs w:val="24"/>
        </w:rPr>
        <w:t>tel qu’interprété à la lumière de la décision du Conseil constitutionnel</w:t>
      </w:r>
      <w:r w:rsidR="000001FD" w:rsidRPr="000E158D">
        <w:rPr>
          <w:rFonts w:cstheme="minorHAnsi"/>
          <w:sz w:val="24"/>
          <w:szCs w:val="24"/>
        </w:rPr>
        <w:t xml:space="preserve"> ». </w:t>
      </w:r>
    </w:p>
    <w:sectPr w:rsidR="00380CBD" w:rsidRPr="000E15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DECB" w14:textId="77777777" w:rsidR="00C63356" w:rsidRDefault="00C63356" w:rsidP="00B01DAF">
      <w:pPr>
        <w:spacing w:after="0" w:line="240" w:lineRule="auto"/>
      </w:pPr>
      <w:r>
        <w:separator/>
      </w:r>
    </w:p>
  </w:endnote>
  <w:endnote w:type="continuationSeparator" w:id="0">
    <w:p w14:paraId="55415C72" w14:textId="77777777" w:rsidR="00C63356" w:rsidRDefault="00C63356" w:rsidP="00B0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521094"/>
      <w:docPartObj>
        <w:docPartGallery w:val="Page Numbers (Bottom of Page)"/>
        <w:docPartUnique/>
      </w:docPartObj>
    </w:sdtPr>
    <w:sdtEndPr/>
    <w:sdtContent>
      <w:p w14:paraId="3F3435AD" w14:textId="77777777" w:rsidR="00B01DAF" w:rsidRDefault="00B01DAF">
        <w:pPr>
          <w:pStyle w:val="Pieddepage"/>
          <w:jc w:val="right"/>
        </w:pPr>
        <w:r>
          <w:fldChar w:fldCharType="begin"/>
        </w:r>
        <w:r>
          <w:instrText>PAGE   \* MERGEFORMAT</w:instrText>
        </w:r>
        <w:r>
          <w:fldChar w:fldCharType="separate"/>
        </w:r>
        <w:r w:rsidR="00272553">
          <w:rPr>
            <w:noProof/>
          </w:rPr>
          <w:t>1</w:t>
        </w:r>
        <w:r>
          <w:fldChar w:fldCharType="end"/>
        </w:r>
      </w:p>
    </w:sdtContent>
  </w:sdt>
  <w:p w14:paraId="50FC1194" w14:textId="77777777" w:rsidR="00B01DAF" w:rsidRDefault="00B01D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14CC" w14:textId="77777777" w:rsidR="00C63356" w:rsidRDefault="00C63356" w:rsidP="00B01DAF">
      <w:pPr>
        <w:spacing w:after="0" w:line="240" w:lineRule="auto"/>
      </w:pPr>
      <w:r>
        <w:separator/>
      </w:r>
    </w:p>
  </w:footnote>
  <w:footnote w:type="continuationSeparator" w:id="0">
    <w:p w14:paraId="462124E1" w14:textId="77777777" w:rsidR="00C63356" w:rsidRDefault="00C63356" w:rsidP="00B01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53C2"/>
    <w:multiLevelType w:val="hybridMultilevel"/>
    <w:tmpl w:val="0B68E78E"/>
    <w:lvl w:ilvl="0" w:tplc="D0EEB70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B564A1C"/>
    <w:multiLevelType w:val="hybridMultilevel"/>
    <w:tmpl w:val="8076BF8C"/>
    <w:lvl w:ilvl="0" w:tplc="D6F2C1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CD1E3A"/>
    <w:multiLevelType w:val="hybridMultilevel"/>
    <w:tmpl w:val="E228A300"/>
    <w:lvl w:ilvl="0" w:tplc="C6B0FC04">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784CCB"/>
    <w:multiLevelType w:val="hybridMultilevel"/>
    <w:tmpl w:val="BF3CD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55A3A"/>
    <w:multiLevelType w:val="hybridMultilevel"/>
    <w:tmpl w:val="730E7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7C"/>
    <w:rsid w:val="000001FD"/>
    <w:rsid w:val="00016A37"/>
    <w:rsid w:val="00026F43"/>
    <w:rsid w:val="000E158D"/>
    <w:rsid w:val="00112118"/>
    <w:rsid w:val="001C4F2B"/>
    <w:rsid w:val="001F7C53"/>
    <w:rsid w:val="0020117B"/>
    <w:rsid w:val="002021D6"/>
    <w:rsid w:val="00214F96"/>
    <w:rsid w:val="00272553"/>
    <w:rsid w:val="00361478"/>
    <w:rsid w:val="00380CBD"/>
    <w:rsid w:val="00392C96"/>
    <w:rsid w:val="003D046F"/>
    <w:rsid w:val="004830E1"/>
    <w:rsid w:val="004872AC"/>
    <w:rsid w:val="0050242F"/>
    <w:rsid w:val="00513A09"/>
    <w:rsid w:val="00544A13"/>
    <w:rsid w:val="00551252"/>
    <w:rsid w:val="005748AB"/>
    <w:rsid w:val="005F4577"/>
    <w:rsid w:val="005F53FB"/>
    <w:rsid w:val="005F5CC0"/>
    <w:rsid w:val="00614910"/>
    <w:rsid w:val="00617770"/>
    <w:rsid w:val="0064714F"/>
    <w:rsid w:val="006A6249"/>
    <w:rsid w:val="006B01EC"/>
    <w:rsid w:val="006E1D40"/>
    <w:rsid w:val="00791563"/>
    <w:rsid w:val="007B0043"/>
    <w:rsid w:val="00827C7D"/>
    <w:rsid w:val="00893FBA"/>
    <w:rsid w:val="008C5827"/>
    <w:rsid w:val="008F7891"/>
    <w:rsid w:val="00972B0C"/>
    <w:rsid w:val="009B02F8"/>
    <w:rsid w:val="00A31D06"/>
    <w:rsid w:val="00AC1F7C"/>
    <w:rsid w:val="00B01DAF"/>
    <w:rsid w:val="00B077B1"/>
    <w:rsid w:val="00B25623"/>
    <w:rsid w:val="00BA780F"/>
    <w:rsid w:val="00BD6693"/>
    <w:rsid w:val="00C361A4"/>
    <w:rsid w:val="00C63356"/>
    <w:rsid w:val="00C84E99"/>
    <w:rsid w:val="00CC104F"/>
    <w:rsid w:val="00CF20EF"/>
    <w:rsid w:val="00D34170"/>
    <w:rsid w:val="00E4799C"/>
    <w:rsid w:val="00E70482"/>
    <w:rsid w:val="00E84870"/>
    <w:rsid w:val="00EA2088"/>
    <w:rsid w:val="00EA6FDA"/>
    <w:rsid w:val="00EE5105"/>
    <w:rsid w:val="00F363AE"/>
    <w:rsid w:val="00F62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51F6"/>
  <w15:docId w15:val="{C21512E3-DA95-7A4B-93F9-633BB6B3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105"/>
    <w:pPr>
      <w:ind w:left="720"/>
      <w:contextualSpacing/>
    </w:pPr>
  </w:style>
  <w:style w:type="paragraph" w:styleId="En-tte">
    <w:name w:val="header"/>
    <w:basedOn w:val="Normal"/>
    <w:link w:val="En-tteCar"/>
    <w:uiPriority w:val="99"/>
    <w:unhideWhenUsed/>
    <w:rsid w:val="00B01DAF"/>
    <w:pPr>
      <w:tabs>
        <w:tab w:val="center" w:pos="4536"/>
        <w:tab w:val="right" w:pos="9072"/>
      </w:tabs>
      <w:spacing w:after="0" w:line="240" w:lineRule="auto"/>
    </w:pPr>
  </w:style>
  <w:style w:type="character" w:customStyle="1" w:styleId="En-tteCar">
    <w:name w:val="En-tête Car"/>
    <w:basedOn w:val="Policepardfaut"/>
    <w:link w:val="En-tte"/>
    <w:uiPriority w:val="99"/>
    <w:rsid w:val="00B01DAF"/>
  </w:style>
  <w:style w:type="paragraph" w:styleId="Pieddepage">
    <w:name w:val="footer"/>
    <w:basedOn w:val="Normal"/>
    <w:link w:val="PieddepageCar"/>
    <w:uiPriority w:val="99"/>
    <w:unhideWhenUsed/>
    <w:rsid w:val="00B01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2492</Words>
  <Characters>13711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Geniaut</dc:creator>
  <cp:lastModifiedBy>Nathalie Arbousset</cp:lastModifiedBy>
  <cp:revision>3</cp:revision>
  <dcterms:created xsi:type="dcterms:W3CDTF">2024-12-10T13:36:00Z</dcterms:created>
  <dcterms:modified xsi:type="dcterms:W3CDTF">2024-12-19T09:53:00Z</dcterms:modified>
</cp:coreProperties>
</file>