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AC1EB" w14:textId="77777777" w:rsidR="00370857" w:rsidRPr="00F61D5E" w:rsidRDefault="00370857" w:rsidP="00370857">
      <w:pPr>
        <w:widowControl w:val="0"/>
        <w:autoSpaceDE w:val="0"/>
        <w:autoSpaceDN w:val="0"/>
        <w:adjustRightInd w:val="0"/>
        <w:spacing w:after="240"/>
        <w:jc w:val="center"/>
        <w:rPr>
          <w:rFonts w:asciiTheme="majorHAnsi" w:hAnsiTheme="majorHAnsi" w:cstheme="majorHAnsi"/>
          <w:b/>
          <w:bCs/>
          <w:caps/>
        </w:rPr>
      </w:pPr>
      <w:r w:rsidRPr="00F61D5E">
        <w:rPr>
          <w:rFonts w:asciiTheme="majorHAnsi" w:hAnsiTheme="majorHAnsi" w:cstheme="majorHAnsi"/>
          <w:b/>
          <w:bCs/>
          <w:caps/>
        </w:rPr>
        <w:t>Pretium doloris et préjudice de vie abrégée : cumul !</w:t>
      </w:r>
    </w:p>
    <w:p w14:paraId="3900F4BD" w14:textId="5E7BB42A" w:rsidR="00F61D5E" w:rsidRDefault="0050206C" w:rsidP="00F61D5E">
      <w:pPr>
        <w:widowControl w:val="0"/>
        <w:autoSpaceDE w:val="0"/>
        <w:autoSpaceDN w:val="0"/>
        <w:adjustRightInd w:val="0"/>
        <w:spacing w:after="240"/>
        <w:rPr>
          <w:rFonts w:asciiTheme="majorHAnsi" w:hAnsiTheme="majorHAnsi" w:cstheme="majorHAnsi"/>
          <w:b/>
        </w:rPr>
      </w:pPr>
      <w:r w:rsidRPr="00F61D5E">
        <w:rPr>
          <w:rFonts w:asciiTheme="majorHAnsi" w:hAnsiTheme="majorHAnsi" w:cstheme="majorHAnsi"/>
          <w:b/>
        </w:rPr>
        <w:t xml:space="preserve">Caroline </w:t>
      </w:r>
      <w:r w:rsidR="00F61D5E" w:rsidRPr="00F61D5E">
        <w:rPr>
          <w:rFonts w:asciiTheme="majorHAnsi" w:hAnsiTheme="majorHAnsi" w:cstheme="majorHAnsi"/>
          <w:b/>
        </w:rPr>
        <w:t xml:space="preserve">LACROIX </w:t>
      </w:r>
    </w:p>
    <w:p w14:paraId="4ABB880C" w14:textId="44D0F27D" w:rsidR="00F61D5E" w:rsidRDefault="00F61D5E" w:rsidP="00F61D5E">
      <w:pPr>
        <w:widowControl w:val="0"/>
        <w:autoSpaceDE w:val="0"/>
        <w:autoSpaceDN w:val="0"/>
        <w:adjustRightInd w:val="0"/>
        <w:spacing w:after="240"/>
        <w:rPr>
          <w:rFonts w:asciiTheme="majorHAnsi" w:hAnsiTheme="majorHAnsi" w:cstheme="majorHAnsi"/>
          <w:b/>
        </w:rPr>
      </w:pPr>
      <w:r>
        <w:rPr>
          <w:rFonts w:asciiTheme="majorHAnsi" w:hAnsiTheme="majorHAnsi" w:cstheme="majorHAnsi"/>
          <w:b/>
        </w:rPr>
        <w:t>JAC n° 128, nov. 2012</w:t>
      </w:r>
    </w:p>
    <w:p w14:paraId="604EF0C1" w14:textId="79FEA4B0" w:rsidR="00F61D5E" w:rsidRPr="00F61D5E" w:rsidRDefault="00F61D5E" w:rsidP="00F61D5E">
      <w:pPr>
        <w:widowControl w:val="0"/>
        <w:autoSpaceDE w:val="0"/>
        <w:autoSpaceDN w:val="0"/>
        <w:adjustRightInd w:val="0"/>
        <w:spacing w:after="240"/>
        <w:rPr>
          <w:rFonts w:asciiTheme="majorHAnsi" w:hAnsiTheme="majorHAnsi" w:cstheme="majorHAnsi"/>
          <w:b/>
        </w:rPr>
      </w:pPr>
      <w:r w:rsidRPr="00F61D5E">
        <w:rPr>
          <w:rFonts w:asciiTheme="majorHAnsi" w:hAnsiTheme="majorHAnsi" w:cstheme="majorHAnsi"/>
          <w:b/>
        </w:rPr>
        <w:t>Crim. 23 octobre 2012, n°11-83.770, FS-P+B, n° 5478</w:t>
      </w:r>
    </w:p>
    <w:p w14:paraId="3A72A350" w14:textId="4F770011" w:rsidR="0050206C" w:rsidRPr="00F61D5E" w:rsidRDefault="0050206C" w:rsidP="0061145A">
      <w:pPr>
        <w:widowControl w:val="0"/>
        <w:autoSpaceDE w:val="0"/>
        <w:autoSpaceDN w:val="0"/>
        <w:adjustRightInd w:val="0"/>
        <w:spacing w:after="240"/>
        <w:rPr>
          <w:rFonts w:asciiTheme="majorHAnsi" w:hAnsiTheme="majorHAnsi" w:cstheme="majorHAnsi"/>
          <w:b/>
        </w:rPr>
      </w:pPr>
    </w:p>
    <w:p w14:paraId="7E8C72CC" w14:textId="77777777" w:rsidR="00370857" w:rsidRPr="00F61D5E" w:rsidRDefault="00370857" w:rsidP="0061145A">
      <w:pPr>
        <w:widowControl w:val="0"/>
        <w:autoSpaceDE w:val="0"/>
        <w:autoSpaceDN w:val="0"/>
        <w:adjustRightInd w:val="0"/>
        <w:spacing w:after="240"/>
        <w:rPr>
          <w:rFonts w:asciiTheme="majorHAnsi" w:hAnsiTheme="majorHAnsi" w:cstheme="majorHAnsi"/>
        </w:rPr>
      </w:pPr>
      <w:r w:rsidRPr="00F61D5E">
        <w:rPr>
          <w:rFonts w:asciiTheme="majorHAnsi" w:hAnsiTheme="majorHAnsi" w:cstheme="majorHAnsi"/>
        </w:rPr>
        <w:t>Mots-clefs : acci</w:t>
      </w:r>
      <w:r w:rsidR="00C922EB" w:rsidRPr="00F61D5E">
        <w:rPr>
          <w:rFonts w:asciiTheme="majorHAnsi" w:hAnsiTheme="majorHAnsi" w:cstheme="majorHAnsi"/>
        </w:rPr>
        <w:t>dent, indemnisation, préjudices</w:t>
      </w:r>
    </w:p>
    <w:p w14:paraId="6D1CFDA8" w14:textId="1EF36D0B" w:rsidR="00C93305" w:rsidRPr="00F61D5E" w:rsidRDefault="00C93305" w:rsidP="000B43C1">
      <w:pPr>
        <w:widowControl w:val="0"/>
        <w:autoSpaceDE w:val="0"/>
        <w:autoSpaceDN w:val="0"/>
        <w:adjustRightInd w:val="0"/>
        <w:spacing w:after="240"/>
        <w:jc w:val="both"/>
        <w:rPr>
          <w:rFonts w:asciiTheme="majorHAnsi" w:hAnsiTheme="majorHAnsi" w:cstheme="majorHAnsi"/>
          <w:i/>
        </w:rPr>
      </w:pPr>
      <w:r w:rsidRPr="00F61D5E">
        <w:rPr>
          <w:rFonts w:asciiTheme="majorHAnsi" w:hAnsiTheme="majorHAnsi" w:cstheme="majorHAnsi"/>
          <w:i/>
        </w:rPr>
        <w:t>D’aucuns verront dans cette décision de la chambre criminelle, une nouvelle illustration du phénomène d’extens</w:t>
      </w:r>
      <w:r w:rsidR="000B43C1" w:rsidRPr="00F61D5E">
        <w:rPr>
          <w:rFonts w:asciiTheme="majorHAnsi" w:hAnsiTheme="majorHAnsi" w:cstheme="majorHAnsi"/>
          <w:i/>
        </w:rPr>
        <w:t>ion du dommage réparable par l</w:t>
      </w:r>
      <w:r w:rsidRPr="00F61D5E">
        <w:rPr>
          <w:rFonts w:asciiTheme="majorHAnsi" w:hAnsiTheme="majorHAnsi" w:cstheme="majorHAnsi"/>
          <w:i/>
        </w:rPr>
        <w:t>a jurisprudence</w:t>
      </w:r>
      <w:r w:rsidR="001D306E" w:rsidRPr="00F61D5E">
        <w:rPr>
          <w:rFonts w:asciiTheme="majorHAnsi" w:hAnsiTheme="majorHAnsi" w:cstheme="majorHAnsi"/>
          <w:i/>
        </w:rPr>
        <w:t>.</w:t>
      </w:r>
      <w:r w:rsidR="00954604" w:rsidRPr="00F61D5E">
        <w:rPr>
          <w:rFonts w:asciiTheme="majorHAnsi" w:hAnsiTheme="majorHAnsi" w:cstheme="majorHAnsi"/>
          <w:i/>
        </w:rPr>
        <w:t xml:space="preserve"> Elle apparaît plus simplement comme la volonté de différencier et d’identifier avec précision les préjudices nés d’un accident.</w:t>
      </w:r>
    </w:p>
    <w:p w14:paraId="0C3C187C" w14:textId="38A57483" w:rsidR="00370857" w:rsidRPr="00F61D5E" w:rsidRDefault="00370857" w:rsidP="0061145A">
      <w:pPr>
        <w:rPr>
          <w:rFonts w:asciiTheme="majorHAnsi" w:hAnsiTheme="majorHAnsi" w:cstheme="majorHAnsi"/>
        </w:rPr>
      </w:pPr>
      <w:r w:rsidRPr="00F61D5E">
        <w:rPr>
          <w:rStyle w:val="lev"/>
          <w:rFonts w:asciiTheme="majorHAnsi" w:hAnsiTheme="majorHAnsi" w:cstheme="majorHAnsi"/>
        </w:rPr>
        <w:t>Pour se repérer</w:t>
      </w:r>
    </w:p>
    <w:p w14:paraId="788409A9" w14:textId="77777777" w:rsidR="00D0587E" w:rsidRPr="00F61D5E" w:rsidRDefault="00D0587E" w:rsidP="0061145A">
      <w:pPr>
        <w:widowControl w:val="0"/>
        <w:autoSpaceDE w:val="0"/>
        <w:autoSpaceDN w:val="0"/>
        <w:adjustRightInd w:val="0"/>
        <w:spacing w:after="240"/>
        <w:rPr>
          <w:rFonts w:asciiTheme="majorHAnsi" w:hAnsiTheme="majorHAnsi" w:cstheme="majorHAnsi"/>
        </w:rPr>
      </w:pPr>
      <w:r w:rsidRPr="00F61D5E">
        <w:rPr>
          <w:rFonts w:asciiTheme="majorHAnsi" w:hAnsiTheme="majorHAnsi" w:cstheme="majorHAnsi"/>
        </w:rPr>
        <w:t>A</w:t>
      </w:r>
      <w:r w:rsidR="00370857" w:rsidRPr="00F61D5E">
        <w:rPr>
          <w:rFonts w:asciiTheme="majorHAnsi" w:hAnsiTheme="majorHAnsi" w:cstheme="majorHAnsi"/>
        </w:rPr>
        <w:t>ppelée à statuer sur les conséquences dommageables d</w:t>
      </w:r>
      <w:r w:rsidRPr="00F61D5E">
        <w:rPr>
          <w:rFonts w:asciiTheme="majorHAnsi" w:hAnsiTheme="majorHAnsi" w:cstheme="majorHAnsi"/>
        </w:rPr>
        <w:t xml:space="preserve">’un </w:t>
      </w:r>
      <w:r w:rsidR="00370857" w:rsidRPr="00F61D5E">
        <w:rPr>
          <w:rFonts w:asciiTheme="majorHAnsi" w:hAnsiTheme="majorHAnsi" w:cstheme="majorHAnsi"/>
        </w:rPr>
        <w:t>accident mortel de la circulation</w:t>
      </w:r>
      <w:r w:rsidRPr="00F61D5E">
        <w:rPr>
          <w:rFonts w:asciiTheme="majorHAnsi" w:hAnsiTheme="majorHAnsi" w:cstheme="majorHAnsi"/>
        </w:rPr>
        <w:t xml:space="preserve">, la cour d’appel de NOUMÉA a notamment alloué aux parties civiles, au titre de leur action successorale, une indemnité à raison des souffrances physiques et morales que le </w:t>
      </w:r>
      <w:r w:rsidRPr="00F61D5E">
        <w:rPr>
          <w:rFonts w:asciiTheme="majorHAnsi" w:hAnsiTheme="majorHAnsi" w:cstheme="majorHAnsi"/>
          <w:i/>
        </w:rPr>
        <w:t>de cujus</w:t>
      </w:r>
      <w:r w:rsidRPr="00F61D5E">
        <w:rPr>
          <w:rFonts w:asciiTheme="majorHAnsi" w:hAnsiTheme="majorHAnsi" w:cstheme="majorHAnsi"/>
        </w:rPr>
        <w:t xml:space="preserve"> a subies du fait de ses blessures entre le moment de l’accident et son décès d’une part, et une indemnité réparant la souffrance psychique résultant d’un état de conscience suffisant pour envisager sa propre fin d’autre part.</w:t>
      </w:r>
    </w:p>
    <w:p w14:paraId="7C739692" w14:textId="0BBCC503" w:rsidR="00421161" w:rsidRPr="00F61D5E" w:rsidRDefault="00421161" w:rsidP="0061145A">
      <w:pPr>
        <w:widowControl w:val="0"/>
        <w:autoSpaceDE w:val="0"/>
        <w:autoSpaceDN w:val="0"/>
        <w:adjustRightInd w:val="0"/>
        <w:spacing w:after="240"/>
        <w:rPr>
          <w:rFonts w:asciiTheme="majorHAnsi" w:hAnsiTheme="majorHAnsi" w:cstheme="majorHAnsi"/>
        </w:rPr>
      </w:pPr>
      <w:r w:rsidRPr="00F61D5E">
        <w:rPr>
          <w:rFonts w:asciiTheme="majorHAnsi" w:hAnsiTheme="majorHAnsi" w:cstheme="majorHAnsi"/>
        </w:rPr>
        <w:t xml:space="preserve">Dans son </w:t>
      </w:r>
      <w:r w:rsidR="00D0587E" w:rsidRPr="00F61D5E">
        <w:rPr>
          <w:rFonts w:asciiTheme="majorHAnsi" w:hAnsiTheme="majorHAnsi" w:cstheme="majorHAnsi"/>
        </w:rPr>
        <w:t>pourvoi</w:t>
      </w:r>
      <w:r w:rsidRPr="00F61D5E">
        <w:rPr>
          <w:rFonts w:asciiTheme="majorHAnsi" w:hAnsiTheme="majorHAnsi" w:cstheme="majorHAnsi"/>
        </w:rPr>
        <w:t>, l’auteur de l’accident</w:t>
      </w:r>
      <w:r w:rsidR="00D0587E" w:rsidRPr="00F61D5E">
        <w:rPr>
          <w:rFonts w:asciiTheme="majorHAnsi" w:hAnsiTheme="majorHAnsi" w:cstheme="majorHAnsi"/>
        </w:rPr>
        <w:t xml:space="preserve"> </w:t>
      </w:r>
      <w:r w:rsidRPr="00F61D5E">
        <w:rPr>
          <w:rFonts w:asciiTheme="majorHAnsi" w:hAnsiTheme="majorHAnsi" w:cstheme="majorHAnsi"/>
        </w:rPr>
        <w:t>invoquait</w:t>
      </w:r>
      <w:r w:rsidR="004D2C93" w:rsidRPr="00F61D5E">
        <w:rPr>
          <w:rFonts w:asciiTheme="majorHAnsi" w:hAnsiTheme="majorHAnsi" w:cstheme="majorHAnsi"/>
        </w:rPr>
        <w:t xml:space="preserve"> deux arguments. </w:t>
      </w:r>
      <w:r w:rsidR="0061145A" w:rsidRPr="00F61D5E">
        <w:rPr>
          <w:rFonts w:asciiTheme="majorHAnsi" w:hAnsiTheme="majorHAnsi" w:cstheme="majorHAnsi"/>
        </w:rPr>
        <w:t xml:space="preserve">Il </w:t>
      </w:r>
      <w:r w:rsidR="004D2C93" w:rsidRPr="00F61D5E">
        <w:rPr>
          <w:rFonts w:asciiTheme="majorHAnsi" w:hAnsiTheme="majorHAnsi" w:cstheme="majorHAnsi"/>
        </w:rPr>
        <w:t>soutenait d’abord qu’en indemnisant les souffrances physiques et morales de la victime de l’accident de la circulation</w:t>
      </w:r>
      <w:r w:rsidR="0061145A" w:rsidRPr="00F61D5E">
        <w:rPr>
          <w:rFonts w:asciiTheme="majorHAnsi" w:hAnsiTheme="majorHAnsi" w:cstheme="majorHAnsi"/>
        </w:rPr>
        <w:t>,</w:t>
      </w:r>
      <w:r w:rsidR="004D2C93" w:rsidRPr="00F61D5E">
        <w:rPr>
          <w:rFonts w:asciiTheme="majorHAnsi" w:hAnsiTheme="majorHAnsi" w:cstheme="majorHAnsi"/>
        </w:rPr>
        <w:t xml:space="preserve"> une première fois au titre du pretium doloris, et une seconde fois au titre du préjudice de vie abrég</w:t>
      </w:r>
      <w:r w:rsidR="0061145A" w:rsidRPr="00F61D5E">
        <w:rPr>
          <w:rFonts w:asciiTheme="majorHAnsi" w:hAnsiTheme="majorHAnsi" w:cstheme="majorHAnsi"/>
        </w:rPr>
        <w:t>ée, les juges auraient procédé à</w:t>
      </w:r>
      <w:r w:rsidR="004D2C93" w:rsidRPr="00F61D5E">
        <w:rPr>
          <w:rFonts w:asciiTheme="majorHAnsi" w:hAnsiTheme="majorHAnsi" w:cstheme="majorHAnsi"/>
        </w:rPr>
        <w:t xml:space="preserve"> une double indemnisation du même pré</w:t>
      </w:r>
      <w:r w:rsidR="008168AE" w:rsidRPr="00F61D5E">
        <w:rPr>
          <w:rFonts w:asciiTheme="majorHAnsi" w:hAnsiTheme="majorHAnsi" w:cstheme="majorHAnsi"/>
        </w:rPr>
        <w:t>judice. Il contestait ensuite</w:t>
      </w:r>
      <w:r w:rsidR="004D2C93" w:rsidRPr="00F61D5E">
        <w:rPr>
          <w:rFonts w:asciiTheme="majorHAnsi" w:hAnsiTheme="majorHAnsi" w:cstheme="majorHAnsi"/>
        </w:rPr>
        <w:t xml:space="preserve"> </w:t>
      </w:r>
      <w:r w:rsidRPr="00F61D5E">
        <w:rPr>
          <w:rFonts w:asciiTheme="majorHAnsi" w:hAnsiTheme="majorHAnsi" w:cstheme="majorHAnsi"/>
        </w:rPr>
        <w:t xml:space="preserve">l'existence d’un </w:t>
      </w:r>
      <w:r w:rsidRPr="00F61D5E">
        <w:rPr>
          <w:rFonts w:asciiTheme="majorHAnsi" w:hAnsiTheme="majorHAnsi" w:cstheme="majorHAnsi"/>
          <w:bCs/>
        </w:rPr>
        <w:t>préjudice</w:t>
      </w:r>
      <w:r w:rsidRPr="00F61D5E">
        <w:rPr>
          <w:rFonts w:asciiTheme="majorHAnsi" w:hAnsiTheme="majorHAnsi" w:cstheme="majorHAnsi"/>
        </w:rPr>
        <w:t xml:space="preserve"> personnel du défunt </w:t>
      </w:r>
      <w:r w:rsidR="004D2C93" w:rsidRPr="00F61D5E">
        <w:rPr>
          <w:rFonts w:asciiTheme="majorHAnsi" w:hAnsiTheme="majorHAnsi" w:cstheme="majorHAnsi"/>
        </w:rPr>
        <w:t>de vie abrégée</w:t>
      </w:r>
      <w:r w:rsidRPr="00F61D5E">
        <w:rPr>
          <w:rFonts w:asciiTheme="majorHAnsi" w:hAnsiTheme="majorHAnsi" w:cstheme="majorHAnsi"/>
        </w:rPr>
        <w:t xml:space="preserve"> et sa transmission à ses </w:t>
      </w:r>
      <w:r w:rsidR="00C93305" w:rsidRPr="00F61D5E">
        <w:rPr>
          <w:rFonts w:asciiTheme="majorHAnsi" w:hAnsiTheme="majorHAnsi" w:cstheme="majorHAnsi"/>
        </w:rPr>
        <w:t>héritiers</w:t>
      </w:r>
      <w:r w:rsidRPr="00F61D5E">
        <w:rPr>
          <w:rFonts w:asciiTheme="majorHAnsi" w:hAnsiTheme="majorHAnsi" w:cstheme="majorHAnsi"/>
        </w:rPr>
        <w:t xml:space="preserve">. </w:t>
      </w:r>
    </w:p>
    <w:p w14:paraId="79645ABE" w14:textId="7FC9F7F3" w:rsidR="004D2C93" w:rsidRPr="00F61D5E" w:rsidRDefault="0061145A" w:rsidP="0061145A">
      <w:pPr>
        <w:rPr>
          <w:rFonts w:asciiTheme="majorHAnsi" w:hAnsiTheme="majorHAnsi" w:cstheme="majorHAnsi"/>
        </w:rPr>
      </w:pPr>
      <w:r w:rsidRPr="00F61D5E">
        <w:rPr>
          <w:rStyle w:val="lev"/>
          <w:rFonts w:asciiTheme="majorHAnsi" w:hAnsiTheme="majorHAnsi" w:cstheme="majorHAnsi"/>
        </w:rPr>
        <w:t>P</w:t>
      </w:r>
      <w:r w:rsidR="004D2C93" w:rsidRPr="00F61D5E">
        <w:rPr>
          <w:rStyle w:val="lev"/>
          <w:rFonts w:asciiTheme="majorHAnsi" w:hAnsiTheme="majorHAnsi" w:cstheme="majorHAnsi"/>
        </w:rPr>
        <w:t>our aller à l'essentiel</w:t>
      </w:r>
    </w:p>
    <w:p w14:paraId="19FA2708" w14:textId="50575830" w:rsidR="004D2C93" w:rsidRPr="00F61D5E" w:rsidRDefault="004D2C93" w:rsidP="0061145A">
      <w:pPr>
        <w:widowControl w:val="0"/>
        <w:autoSpaceDE w:val="0"/>
        <w:autoSpaceDN w:val="0"/>
        <w:adjustRightInd w:val="0"/>
        <w:spacing w:after="240"/>
        <w:rPr>
          <w:rFonts w:asciiTheme="majorHAnsi" w:hAnsiTheme="majorHAnsi" w:cstheme="majorHAnsi"/>
        </w:rPr>
      </w:pPr>
      <w:r w:rsidRPr="00F61D5E">
        <w:rPr>
          <w:rFonts w:asciiTheme="majorHAnsi" w:hAnsiTheme="majorHAnsi" w:cstheme="majorHAnsi"/>
        </w:rPr>
        <w:t xml:space="preserve">La chambre criminelle </w:t>
      </w:r>
      <w:r w:rsidR="00421161" w:rsidRPr="00F61D5E">
        <w:rPr>
          <w:rFonts w:asciiTheme="majorHAnsi" w:hAnsiTheme="majorHAnsi" w:cstheme="majorHAnsi"/>
        </w:rPr>
        <w:t>rejette le pourvoi admettant « </w:t>
      </w:r>
      <w:r w:rsidR="00421161" w:rsidRPr="00F61D5E">
        <w:rPr>
          <w:rFonts w:asciiTheme="majorHAnsi" w:hAnsiTheme="majorHAnsi" w:cstheme="majorHAnsi"/>
          <w:i/>
        </w:rPr>
        <w:t>qu’en statuant ainsi, la cour d’appel a justifié sa décision, dès lors que, sans procéder à une double indemnisation, elle a évalué séparément les préjudices distincts constitués par les souffrances endurées du fait des blessures et par l’angoisse d’une mort imminente</w:t>
      </w:r>
      <w:r w:rsidR="00421161" w:rsidRPr="00F61D5E">
        <w:rPr>
          <w:rFonts w:asciiTheme="majorHAnsi" w:hAnsiTheme="majorHAnsi" w:cstheme="majorHAnsi"/>
        </w:rPr>
        <w:t> ».</w:t>
      </w:r>
    </w:p>
    <w:p w14:paraId="2CB82910" w14:textId="6C9263B6" w:rsidR="00370857" w:rsidRPr="00F61D5E" w:rsidRDefault="0061145A" w:rsidP="0061145A">
      <w:pPr>
        <w:rPr>
          <w:rStyle w:val="lev"/>
          <w:rFonts w:asciiTheme="majorHAnsi" w:hAnsiTheme="majorHAnsi" w:cstheme="majorHAnsi"/>
        </w:rPr>
      </w:pPr>
      <w:r w:rsidRPr="00F61D5E">
        <w:rPr>
          <w:rStyle w:val="lev"/>
          <w:rFonts w:asciiTheme="majorHAnsi" w:hAnsiTheme="majorHAnsi" w:cstheme="majorHAnsi"/>
        </w:rPr>
        <w:t>Pour aller plus loin</w:t>
      </w:r>
    </w:p>
    <w:p w14:paraId="300C0568" w14:textId="77777777" w:rsidR="000B032A" w:rsidRPr="00F61D5E" w:rsidRDefault="001D306E" w:rsidP="0061145A">
      <w:pPr>
        <w:rPr>
          <w:rStyle w:val="lev"/>
          <w:rFonts w:asciiTheme="majorHAnsi" w:hAnsiTheme="majorHAnsi" w:cstheme="majorHAnsi"/>
          <w:b w:val="0"/>
        </w:rPr>
      </w:pPr>
      <w:r w:rsidRPr="00F61D5E">
        <w:rPr>
          <w:rStyle w:val="lev"/>
          <w:rFonts w:asciiTheme="majorHAnsi" w:hAnsiTheme="majorHAnsi" w:cstheme="majorHAnsi"/>
          <w:b w:val="0"/>
        </w:rPr>
        <w:t>La notion de préjudice de vie abrégée n’est pas une nouveauté</w:t>
      </w:r>
      <w:r w:rsidR="000B032A" w:rsidRPr="00F61D5E">
        <w:rPr>
          <w:rStyle w:val="lev"/>
          <w:rFonts w:asciiTheme="majorHAnsi" w:hAnsiTheme="majorHAnsi" w:cstheme="majorHAnsi"/>
          <w:b w:val="0"/>
        </w:rPr>
        <w:t xml:space="preserve">. L’arrêt commenté </w:t>
      </w:r>
      <w:r w:rsidR="008168AE" w:rsidRPr="00F61D5E">
        <w:rPr>
          <w:rStyle w:val="lev"/>
          <w:rFonts w:asciiTheme="majorHAnsi" w:hAnsiTheme="majorHAnsi" w:cstheme="majorHAnsi"/>
          <w:b w:val="0"/>
        </w:rPr>
        <w:t xml:space="preserve">ici </w:t>
      </w:r>
      <w:r w:rsidR="000B032A" w:rsidRPr="00F61D5E">
        <w:rPr>
          <w:rStyle w:val="lev"/>
          <w:rFonts w:asciiTheme="majorHAnsi" w:hAnsiTheme="majorHAnsi" w:cstheme="majorHAnsi"/>
          <w:b w:val="0"/>
        </w:rPr>
        <w:t>permet d’en</w:t>
      </w:r>
      <w:r w:rsidRPr="00F61D5E">
        <w:rPr>
          <w:rStyle w:val="lev"/>
          <w:rFonts w:asciiTheme="majorHAnsi" w:hAnsiTheme="majorHAnsi" w:cstheme="majorHAnsi"/>
          <w:b w:val="0"/>
        </w:rPr>
        <w:t xml:space="preserve"> rappeler sa teneur et son caractère transmissible.</w:t>
      </w:r>
      <w:r w:rsidR="00B0130B" w:rsidRPr="00F61D5E">
        <w:rPr>
          <w:rStyle w:val="lev"/>
          <w:rFonts w:asciiTheme="majorHAnsi" w:hAnsiTheme="majorHAnsi" w:cstheme="majorHAnsi"/>
          <w:b w:val="0"/>
        </w:rPr>
        <w:t xml:space="preserve"> </w:t>
      </w:r>
    </w:p>
    <w:p w14:paraId="58384244" w14:textId="7D81BB26" w:rsidR="003347CD" w:rsidRPr="00F61D5E" w:rsidRDefault="001D306E" w:rsidP="0061145A">
      <w:pPr>
        <w:rPr>
          <w:rFonts w:asciiTheme="majorHAnsi" w:hAnsiTheme="majorHAnsi" w:cstheme="majorHAnsi"/>
        </w:rPr>
      </w:pPr>
      <w:r w:rsidRPr="00F61D5E">
        <w:rPr>
          <w:rStyle w:val="lev"/>
          <w:rFonts w:asciiTheme="majorHAnsi" w:hAnsiTheme="majorHAnsi" w:cstheme="majorHAnsi"/>
          <w:b w:val="0"/>
        </w:rPr>
        <w:t xml:space="preserve">Quant à teneur, ce préjudice, distinct du pretium doloris, ne se confond pas avec une quelconque </w:t>
      </w:r>
      <w:r w:rsidRPr="00F61D5E">
        <w:rPr>
          <w:rFonts w:asciiTheme="majorHAnsi" w:hAnsiTheme="majorHAnsi" w:cstheme="majorHAnsi"/>
        </w:rPr>
        <w:t>perte d’une espérance de vie.</w:t>
      </w:r>
      <w:r w:rsidR="00B0130B" w:rsidRPr="00F61D5E">
        <w:rPr>
          <w:rFonts w:asciiTheme="majorHAnsi" w:hAnsiTheme="majorHAnsi" w:cstheme="majorHAnsi"/>
          <w:b/>
        </w:rPr>
        <w:t xml:space="preserve"> </w:t>
      </w:r>
      <w:r w:rsidRPr="00F61D5E">
        <w:rPr>
          <w:rFonts w:asciiTheme="majorHAnsi" w:hAnsiTheme="majorHAnsi" w:cstheme="majorHAnsi"/>
        </w:rPr>
        <w:t xml:space="preserve">Le demandeur au pourvoi soutenait </w:t>
      </w:r>
      <w:r w:rsidR="000B032A" w:rsidRPr="00F61D5E">
        <w:rPr>
          <w:rFonts w:asciiTheme="majorHAnsi" w:hAnsiTheme="majorHAnsi" w:cstheme="majorHAnsi"/>
        </w:rPr>
        <w:t xml:space="preserve">en effet </w:t>
      </w:r>
      <w:r w:rsidRPr="00F61D5E">
        <w:rPr>
          <w:rFonts w:asciiTheme="majorHAnsi" w:hAnsiTheme="majorHAnsi" w:cstheme="majorHAnsi"/>
        </w:rPr>
        <w:t xml:space="preserve">qu’en l’absence de droit acquis à vivre jusqu’à un âge statistiquement déterminé, sa perte ne peut donner lieu à aucune réparation. Or, ce </w:t>
      </w:r>
      <w:r w:rsidR="000B032A" w:rsidRPr="00F61D5E">
        <w:rPr>
          <w:rFonts w:asciiTheme="majorHAnsi" w:hAnsiTheme="majorHAnsi" w:cstheme="majorHAnsi"/>
        </w:rPr>
        <w:t>qui est indemnisé en l’espèce, c’est « </w:t>
      </w:r>
      <w:r w:rsidR="000B032A" w:rsidRPr="00F61D5E">
        <w:rPr>
          <w:rFonts w:asciiTheme="majorHAnsi" w:hAnsiTheme="majorHAnsi" w:cstheme="majorHAnsi"/>
          <w:i/>
        </w:rPr>
        <w:t>la souffrance morale liée à la conscience qu’aurait eue la victime de la perte de son espérance de vie</w:t>
      </w:r>
      <w:r w:rsidR="000B032A" w:rsidRPr="00F61D5E">
        <w:rPr>
          <w:rFonts w:asciiTheme="majorHAnsi" w:hAnsiTheme="majorHAnsi" w:cstheme="majorHAnsi"/>
        </w:rPr>
        <w:t> » mieux qualifié par</w:t>
      </w:r>
      <w:r w:rsidR="0061145A" w:rsidRPr="00F61D5E">
        <w:rPr>
          <w:rFonts w:asciiTheme="majorHAnsi" w:hAnsiTheme="majorHAnsi" w:cstheme="majorHAnsi"/>
        </w:rPr>
        <w:t xml:space="preserve"> la C</w:t>
      </w:r>
      <w:r w:rsidRPr="00F61D5E">
        <w:rPr>
          <w:rFonts w:asciiTheme="majorHAnsi" w:hAnsiTheme="majorHAnsi" w:cstheme="majorHAnsi"/>
        </w:rPr>
        <w:t>our de cassation</w:t>
      </w:r>
      <w:r w:rsidR="000B032A" w:rsidRPr="00F61D5E">
        <w:rPr>
          <w:rFonts w:asciiTheme="majorHAnsi" w:hAnsiTheme="majorHAnsi" w:cstheme="majorHAnsi"/>
        </w:rPr>
        <w:t xml:space="preserve"> </w:t>
      </w:r>
      <w:r w:rsidR="005A6CD3" w:rsidRPr="00F61D5E">
        <w:rPr>
          <w:rFonts w:asciiTheme="majorHAnsi" w:hAnsiTheme="majorHAnsi" w:cstheme="majorHAnsi"/>
        </w:rPr>
        <w:t>comme</w:t>
      </w:r>
      <w:r w:rsidR="000B032A" w:rsidRPr="00F61D5E">
        <w:rPr>
          <w:rFonts w:asciiTheme="majorHAnsi" w:hAnsiTheme="majorHAnsi" w:cstheme="majorHAnsi"/>
        </w:rPr>
        <w:t xml:space="preserve"> </w:t>
      </w:r>
      <w:r w:rsidRPr="00F61D5E">
        <w:rPr>
          <w:rFonts w:asciiTheme="majorHAnsi" w:hAnsiTheme="majorHAnsi" w:cstheme="majorHAnsi"/>
        </w:rPr>
        <w:t>« </w:t>
      </w:r>
      <w:r w:rsidRPr="00F61D5E">
        <w:rPr>
          <w:rFonts w:asciiTheme="majorHAnsi" w:hAnsiTheme="majorHAnsi" w:cstheme="majorHAnsi"/>
          <w:i/>
        </w:rPr>
        <w:t>l’angoisse d’une mort imminente</w:t>
      </w:r>
      <w:r w:rsidRPr="00F61D5E">
        <w:rPr>
          <w:rFonts w:asciiTheme="majorHAnsi" w:hAnsiTheme="majorHAnsi" w:cstheme="majorHAnsi"/>
        </w:rPr>
        <w:t> »</w:t>
      </w:r>
      <w:r w:rsidR="000B032A" w:rsidRPr="00F61D5E">
        <w:rPr>
          <w:rFonts w:asciiTheme="majorHAnsi" w:hAnsiTheme="majorHAnsi" w:cstheme="majorHAnsi"/>
        </w:rPr>
        <w:t>. A</w:t>
      </w:r>
      <w:r w:rsidRPr="00F61D5E">
        <w:rPr>
          <w:rFonts w:asciiTheme="majorHAnsi" w:hAnsiTheme="majorHAnsi" w:cstheme="majorHAnsi"/>
        </w:rPr>
        <w:t xml:space="preserve">utrement dit, </w:t>
      </w:r>
      <w:r w:rsidR="005A6CD3" w:rsidRPr="00F61D5E">
        <w:rPr>
          <w:rFonts w:asciiTheme="majorHAnsi" w:hAnsiTheme="majorHAnsi" w:cstheme="majorHAnsi"/>
        </w:rPr>
        <w:t xml:space="preserve">ce qui est </w:t>
      </w:r>
      <w:r w:rsidR="0061145A" w:rsidRPr="00F61D5E">
        <w:rPr>
          <w:rFonts w:asciiTheme="majorHAnsi" w:hAnsiTheme="majorHAnsi" w:cstheme="majorHAnsi"/>
        </w:rPr>
        <w:t xml:space="preserve">indemnisé </w:t>
      </w:r>
      <w:r w:rsidR="005A6CD3" w:rsidRPr="00F61D5E">
        <w:rPr>
          <w:rFonts w:asciiTheme="majorHAnsi" w:hAnsiTheme="majorHAnsi" w:cstheme="majorHAnsi"/>
        </w:rPr>
        <w:t>est, non</w:t>
      </w:r>
      <w:r w:rsidRPr="00F61D5E">
        <w:rPr>
          <w:rFonts w:asciiTheme="majorHAnsi" w:hAnsiTheme="majorHAnsi" w:cstheme="majorHAnsi"/>
        </w:rPr>
        <w:t xml:space="preserve"> une perte de chance de survie permet</w:t>
      </w:r>
      <w:r w:rsidR="00B0130B" w:rsidRPr="00F61D5E">
        <w:rPr>
          <w:rFonts w:asciiTheme="majorHAnsi" w:hAnsiTheme="majorHAnsi" w:cstheme="majorHAnsi"/>
        </w:rPr>
        <w:t>tant</w:t>
      </w:r>
      <w:r w:rsidRPr="00F61D5E">
        <w:rPr>
          <w:rFonts w:asciiTheme="majorHAnsi" w:hAnsiTheme="majorHAnsi" w:cstheme="majorHAnsi"/>
        </w:rPr>
        <w:t xml:space="preserve"> de réparer le fait de ne pas avoir eu la possibilité de ne pas mourir</w:t>
      </w:r>
      <w:r w:rsidR="00B0130B" w:rsidRPr="00F61D5E">
        <w:rPr>
          <w:rFonts w:asciiTheme="majorHAnsi" w:hAnsiTheme="majorHAnsi" w:cstheme="majorHAnsi"/>
        </w:rPr>
        <w:t>, mais</w:t>
      </w:r>
      <w:r w:rsidR="005A6CD3" w:rsidRPr="00F61D5E">
        <w:rPr>
          <w:rFonts w:asciiTheme="majorHAnsi" w:hAnsiTheme="majorHAnsi" w:cstheme="majorHAnsi"/>
        </w:rPr>
        <w:t xml:space="preserve"> l’anxiété face à une mort prochaine,</w:t>
      </w:r>
      <w:r w:rsidR="00B0130B" w:rsidRPr="00F61D5E">
        <w:rPr>
          <w:rFonts w:asciiTheme="majorHAnsi" w:hAnsiTheme="majorHAnsi" w:cstheme="majorHAnsi"/>
        </w:rPr>
        <w:t xml:space="preserve"> </w:t>
      </w:r>
      <w:r w:rsidRPr="00F61D5E">
        <w:rPr>
          <w:rFonts w:asciiTheme="majorHAnsi" w:hAnsiTheme="majorHAnsi" w:cstheme="majorHAnsi"/>
        </w:rPr>
        <w:t xml:space="preserve">la peur </w:t>
      </w:r>
      <w:r w:rsidR="005A6CD3" w:rsidRPr="00F61D5E">
        <w:rPr>
          <w:rFonts w:asciiTheme="majorHAnsi" w:hAnsiTheme="majorHAnsi" w:cstheme="majorHAnsi"/>
        </w:rPr>
        <w:t>face à la mort</w:t>
      </w:r>
      <w:r w:rsidRPr="00F61D5E">
        <w:rPr>
          <w:rFonts w:asciiTheme="majorHAnsi" w:hAnsiTheme="majorHAnsi" w:cstheme="majorHAnsi"/>
        </w:rPr>
        <w:t xml:space="preserve">. </w:t>
      </w:r>
      <w:r w:rsidR="005A6CD3" w:rsidRPr="00F61D5E">
        <w:rPr>
          <w:rFonts w:asciiTheme="majorHAnsi" w:hAnsiTheme="majorHAnsi" w:cstheme="majorHAnsi"/>
        </w:rPr>
        <w:t>La notion de préjudice d’anxiété n’est pas nouvelle (</w:t>
      </w:r>
      <w:r w:rsidR="000B43C1" w:rsidRPr="00F61D5E">
        <w:rPr>
          <w:rStyle w:val="NotedebasdepageCar"/>
          <w:rFonts w:asciiTheme="majorHAnsi" w:eastAsiaTheme="minorEastAsia" w:hAnsiTheme="majorHAnsi" w:cstheme="majorHAnsi"/>
          <w:color w:val="3366FF"/>
          <w:sz w:val="24"/>
          <w:szCs w:val="24"/>
        </w:rPr>
        <w:t>A. Schneider</w:t>
      </w:r>
      <w:r w:rsidR="005A6CD3" w:rsidRPr="00F61D5E">
        <w:rPr>
          <w:rStyle w:val="NotedebasdepageCar"/>
          <w:rFonts w:asciiTheme="majorHAnsi" w:eastAsiaTheme="minorEastAsia" w:hAnsiTheme="majorHAnsi" w:cstheme="majorHAnsi"/>
          <w:color w:val="3366FF"/>
          <w:sz w:val="24"/>
          <w:szCs w:val="24"/>
        </w:rPr>
        <w:t xml:space="preserve">, « Chronique d’une naissance : le préjudice d’anxiété », </w:t>
      </w:r>
      <w:r w:rsidR="005A6CD3" w:rsidRPr="00F61D5E">
        <w:rPr>
          <w:rStyle w:val="NotedebasdepageCar"/>
          <w:rFonts w:asciiTheme="majorHAnsi" w:eastAsiaTheme="minorEastAsia" w:hAnsiTheme="majorHAnsi" w:cstheme="majorHAnsi"/>
          <w:i/>
          <w:iCs w:val="0"/>
          <w:color w:val="3366FF"/>
          <w:sz w:val="24"/>
          <w:szCs w:val="24"/>
        </w:rPr>
        <w:t>JAC</w:t>
      </w:r>
      <w:r w:rsidR="005A6CD3" w:rsidRPr="00F61D5E">
        <w:rPr>
          <w:rStyle w:val="NotedebasdepageCar"/>
          <w:rFonts w:asciiTheme="majorHAnsi" w:eastAsiaTheme="minorEastAsia" w:hAnsiTheme="majorHAnsi" w:cstheme="majorHAnsi"/>
          <w:color w:val="3366FF"/>
          <w:sz w:val="24"/>
          <w:szCs w:val="24"/>
        </w:rPr>
        <w:t xml:space="preserve"> n° 24.)</w:t>
      </w:r>
      <w:r w:rsidR="005A6CD3" w:rsidRPr="00F61D5E">
        <w:rPr>
          <w:rStyle w:val="NotedebasdepageCar"/>
          <w:rFonts w:asciiTheme="majorHAnsi" w:eastAsiaTheme="minorEastAsia" w:hAnsiTheme="majorHAnsi" w:cstheme="majorHAnsi"/>
          <w:sz w:val="24"/>
          <w:szCs w:val="24"/>
        </w:rPr>
        <w:t xml:space="preserve"> </w:t>
      </w:r>
      <w:r w:rsidR="005A6CD3" w:rsidRPr="00F61D5E">
        <w:rPr>
          <w:rFonts w:asciiTheme="majorHAnsi" w:hAnsiTheme="majorHAnsi" w:cstheme="majorHAnsi"/>
        </w:rPr>
        <w:t>Ce préjudice d’angoisse a pu être identifié dans un jugement rendu par le Tribunal correctionnel de la Seine</w:t>
      </w:r>
      <w:r w:rsidR="007C078F" w:rsidRPr="00F61D5E">
        <w:rPr>
          <w:rFonts w:asciiTheme="majorHAnsi" w:hAnsiTheme="majorHAnsi" w:cstheme="majorHAnsi"/>
        </w:rPr>
        <w:t xml:space="preserve"> </w:t>
      </w:r>
      <w:r w:rsidR="007C078F" w:rsidRPr="00F61D5E">
        <w:rPr>
          <w:rFonts w:asciiTheme="majorHAnsi" w:hAnsiTheme="majorHAnsi" w:cstheme="majorHAnsi"/>
          <w:color w:val="3366FF"/>
        </w:rPr>
        <w:t>(</w:t>
      </w:r>
      <w:r w:rsidR="007C078F" w:rsidRPr="00F61D5E">
        <w:rPr>
          <w:rFonts w:asciiTheme="majorHAnsi" w:hAnsiTheme="majorHAnsi" w:cstheme="majorHAnsi"/>
          <w:iCs/>
          <w:color w:val="3366FF"/>
        </w:rPr>
        <w:t xml:space="preserve">Trib. corr. Seine, 5 mai 1955, </w:t>
      </w:r>
      <w:r w:rsidR="007C078F" w:rsidRPr="00F61D5E">
        <w:rPr>
          <w:rFonts w:asciiTheme="majorHAnsi" w:hAnsiTheme="majorHAnsi" w:cstheme="majorHAnsi"/>
          <w:i/>
          <w:color w:val="3366FF"/>
        </w:rPr>
        <w:t>JCP G</w:t>
      </w:r>
      <w:r w:rsidR="007C078F" w:rsidRPr="00F61D5E">
        <w:rPr>
          <w:rFonts w:asciiTheme="majorHAnsi" w:hAnsiTheme="majorHAnsi" w:cstheme="majorHAnsi"/>
          <w:iCs/>
          <w:color w:val="3366FF"/>
        </w:rPr>
        <w:t xml:space="preserve"> 1965. II. 14332)</w:t>
      </w:r>
      <w:r w:rsidR="005A6CD3" w:rsidRPr="00F61D5E">
        <w:rPr>
          <w:rFonts w:asciiTheme="majorHAnsi" w:hAnsiTheme="majorHAnsi" w:cstheme="majorHAnsi"/>
        </w:rPr>
        <w:t xml:space="preserve"> qui avait admis que « </w:t>
      </w:r>
      <w:r w:rsidR="005A6CD3" w:rsidRPr="00F61D5E">
        <w:rPr>
          <w:rFonts w:asciiTheme="majorHAnsi" w:hAnsiTheme="majorHAnsi" w:cstheme="majorHAnsi"/>
          <w:i/>
        </w:rPr>
        <w:t>le retentissement psychologique</w:t>
      </w:r>
      <w:r w:rsidR="005A6CD3" w:rsidRPr="00F61D5E">
        <w:rPr>
          <w:rFonts w:asciiTheme="majorHAnsi" w:hAnsiTheme="majorHAnsi" w:cstheme="majorHAnsi"/>
        </w:rPr>
        <w:t xml:space="preserve"> » éprouvé par la victime est une composante du </w:t>
      </w:r>
      <w:r w:rsidR="005A6CD3" w:rsidRPr="00F61D5E">
        <w:rPr>
          <w:rFonts w:asciiTheme="majorHAnsi" w:hAnsiTheme="majorHAnsi" w:cstheme="majorHAnsi"/>
          <w:i/>
        </w:rPr>
        <w:t>pretium doloris</w:t>
      </w:r>
      <w:r w:rsidR="005A6CD3" w:rsidRPr="00F61D5E">
        <w:rPr>
          <w:rFonts w:asciiTheme="majorHAnsi" w:hAnsiTheme="majorHAnsi" w:cstheme="majorHAnsi"/>
        </w:rPr>
        <w:t xml:space="preserve"> et indemnisé ce qu’a pu ressentir la victime d’une agression </w:t>
      </w:r>
      <w:r w:rsidR="005A6CD3" w:rsidRPr="00F61D5E">
        <w:rPr>
          <w:rFonts w:asciiTheme="majorHAnsi" w:hAnsiTheme="majorHAnsi" w:cstheme="majorHAnsi"/>
          <w:i/>
        </w:rPr>
        <w:t>« à la pensée qu’elle risquait fort de devenir aveugle</w:t>
      </w:r>
      <w:r w:rsidR="005A6CD3" w:rsidRPr="00F61D5E">
        <w:rPr>
          <w:rFonts w:asciiTheme="majorHAnsi" w:hAnsiTheme="majorHAnsi" w:cstheme="majorHAnsi"/>
        </w:rPr>
        <w:t xml:space="preserve"> ». De même, la Cour administrative d’appel de Paris a </w:t>
      </w:r>
      <w:r w:rsidR="007C078F" w:rsidRPr="00F61D5E">
        <w:rPr>
          <w:rFonts w:asciiTheme="majorHAnsi" w:hAnsiTheme="majorHAnsi" w:cstheme="majorHAnsi"/>
        </w:rPr>
        <w:t>reconnu</w:t>
      </w:r>
      <w:r w:rsidR="005A6CD3" w:rsidRPr="00F61D5E">
        <w:rPr>
          <w:rFonts w:asciiTheme="majorHAnsi" w:hAnsiTheme="majorHAnsi" w:cstheme="majorHAnsi"/>
        </w:rPr>
        <w:t xml:space="preserve"> que la croyance d'être séropositif pendant six mois constitue un préjudice d’anxiété</w:t>
      </w:r>
      <w:r w:rsidR="007C078F" w:rsidRPr="00F61D5E">
        <w:rPr>
          <w:rFonts w:asciiTheme="majorHAnsi" w:hAnsiTheme="majorHAnsi" w:cstheme="majorHAnsi"/>
        </w:rPr>
        <w:t xml:space="preserve"> </w:t>
      </w:r>
      <w:r w:rsidR="007C078F" w:rsidRPr="00F61D5E">
        <w:rPr>
          <w:rFonts w:asciiTheme="majorHAnsi" w:hAnsiTheme="majorHAnsi" w:cstheme="majorHAnsi"/>
          <w:color w:val="3366FF"/>
        </w:rPr>
        <w:t>(</w:t>
      </w:r>
      <w:r w:rsidR="007C078F" w:rsidRPr="00F61D5E">
        <w:rPr>
          <w:rFonts w:asciiTheme="majorHAnsi" w:hAnsiTheme="majorHAnsi" w:cstheme="majorHAnsi"/>
          <w:iCs/>
          <w:color w:val="3366FF"/>
        </w:rPr>
        <w:t xml:space="preserve">CAA paris, 24 mars 1998, </w:t>
      </w:r>
      <w:r w:rsidR="00FF517F" w:rsidRPr="00F61D5E">
        <w:rPr>
          <w:rFonts w:asciiTheme="majorHAnsi" w:hAnsiTheme="majorHAnsi" w:cstheme="majorHAnsi"/>
          <w:iCs/>
          <w:color w:val="3366FF"/>
        </w:rPr>
        <w:lastRenderedPageBreak/>
        <w:t xml:space="preserve">Assistance publique - </w:t>
      </w:r>
      <w:r w:rsidR="00FF517F" w:rsidRPr="00F61D5E">
        <w:rPr>
          <w:rFonts w:asciiTheme="majorHAnsi" w:hAnsiTheme="majorHAnsi" w:cstheme="majorHAnsi"/>
          <w:iCs/>
          <w:color w:val="548DD4" w:themeColor="text2" w:themeTint="99"/>
        </w:rPr>
        <w:t>H</w:t>
      </w:r>
      <w:r w:rsidR="00997427" w:rsidRPr="00F61D5E">
        <w:rPr>
          <w:rFonts w:asciiTheme="majorHAnsi" w:hAnsiTheme="majorHAnsi" w:cstheme="majorHAnsi"/>
          <w:iCs/>
          <w:color w:val="548DD4" w:themeColor="text2" w:themeTint="99"/>
        </w:rPr>
        <w:t>ô</w:t>
      </w:r>
      <w:r w:rsidR="007C078F" w:rsidRPr="00F61D5E">
        <w:rPr>
          <w:rFonts w:asciiTheme="majorHAnsi" w:hAnsiTheme="majorHAnsi" w:cstheme="majorHAnsi"/>
          <w:iCs/>
          <w:color w:val="548DD4" w:themeColor="text2" w:themeTint="99"/>
        </w:rPr>
        <w:t xml:space="preserve">pitaux de Paris, n° 96PA02373, </w:t>
      </w:r>
      <w:r w:rsidR="007C078F" w:rsidRPr="00F61D5E">
        <w:rPr>
          <w:rFonts w:asciiTheme="majorHAnsi" w:hAnsiTheme="majorHAnsi" w:cstheme="majorHAnsi"/>
          <w:i/>
          <w:color w:val="548DD4" w:themeColor="text2" w:themeTint="99"/>
        </w:rPr>
        <w:t>Dr. adm</w:t>
      </w:r>
      <w:r w:rsidR="007C078F" w:rsidRPr="00F61D5E">
        <w:rPr>
          <w:rFonts w:asciiTheme="majorHAnsi" w:hAnsiTheme="majorHAnsi" w:cstheme="majorHAnsi"/>
          <w:iCs/>
          <w:color w:val="548DD4" w:themeColor="text2" w:themeTint="99"/>
        </w:rPr>
        <w:t>. Août - Septembr</w:t>
      </w:r>
      <w:r w:rsidR="000B43C1" w:rsidRPr="00F61D5E">
        <w:rPr>
          <w:rFonts w:asciiTheme="majorHAnsi" w:hAnsiTheme="majorHAnsi" w:cstheme="majorHAnsi"/>
          <w:iCs/>
          <w:color w:val="548DD4" w:themeColor="text2" w:themeTint="99"/>
        </w:rPr>
        <w:t>e 1998 comm. p. 29 note C. Esper</w:t>
      </w:r>
      <w:r w:rsidR="007C078F" w:rsidRPr="00F61D5E">
        <w:rPr>
          <w:rFonts w:asciiTheme="majorHAnsi" w:hAnsiTheme="majorHAnsi" w:cstheme="majorHAnsi"/>
          <w:iCs/>
          <w:color w:val="548DD4" w:themeColor="text2" w:themeTint="99"/>
        </w:rPr>
        <w:t>)</w:t>
      </w:r>
      <w:r w:rsidR="005A6CD3" w:rsidRPr="00F61D5E">
        <w:rPr>
          <w:rFonts w:asciiTheme="majorHAnsi" w:hAnsiTheme="majorHAnsi" w:cstheme="majorHAnsi"/>
          <w:color w:val="548DD4" w:themeColor="text2" w:themeTint="99"/>
        </w:rPr>
        <w:t xml:space="preserve">.  </w:t>
      </w:r>
      <w:r w:rsidR="005A6CD3" w:rsidRPr="00F61D5E">
        <w:rPr>
          <w:rFonts w:asciiTheme="majorHAnsi" w:hAnsiTheme="majorHAnsi" w:cstheme="majorHAnsi"/>
        </w:rPr>
        <w:t xml:space="preserve">Dernièrement encore, </w:t>
      </w:r>
      <w:r w:rsidR="009D6A40" w:rsidRPr="00F61D5E">
        <w:rPr>
          <w:rFonts w:asciiTheme="majorHAnsi" w:hAnsiTheme="majorHAnsi" w:cstheme="majorHAnsi"/>
        </w:rPr>
        <w:t xml:space="preserve">dans le cadre d’une catastrophe aérienne, </w:t>
      </w:r>
      <w:r w:rsidR="005A6CD3" w:rsidRPr="00F61D5E">
        <w:rPr>
          <w:rFonts w:asciiTheme="majorHAnsi" w:hAnsiTheme="majorHAnsi" w:cstheme="majorHAnsi"/>
        </w:rPr>
        <w:t xml:space="preserve">la </w:t>
      </w:r>
      <w:r w:rsidR="009D6A40" w:rsidRPr="00F61D5E">
        <w:rPr>
          <w:rFonts w:asciiTheme="majorHAnsi" w:hAnsiTheme="majorHAnsi" w:cstheme="majorHAnsi"/>
        </w:rPr>
        <w:t>cour d’appel de</w:t>
      </w:r>
      <w:r w:rsidR="005A6CD3" w:rsidRPr="00F61D5E">
        <w:rPr>
          <w:rFonts w:asciiTheme="majorHAnsi" w:hAnsiTheme="majorHAnsi" w:cstheme="majorHAnsi"/>
        </w:rPr>
        <w:t xml:space="preserve"> Fort-de-</w:t>
      </w:r>
      <w:r w:rsidR="009D6A40" w:rsidRPr="00F61D5E">
        <w:rPr>
          <w:rFonts w:asciiTheme="majorHAnsi" w:hAnsiTheme="majorHAnsi" w:cstheme="majorHAnsi"/>
        </w:rPr>
        <w:t xml:space="preserve">France a admis la réparation des souffrances subies par la victime avant son décès durant la chute de l'appareil retenant que « les passagers ont nécessairement vécu ce moment, quel que soit le temps écoulé entre la perte d'altitude de l'appareil et son écrasement, dans l'angoisse d'une mort prochaine » </w:t>
      </w:r>
      <w:r w:rsidR="009D6A40" w:rsidRPr="00F61D5E">
        <w:rPr>
          <w:rFonts w:asciiTheme="majorHAnsi" w:hAnsiTheme="majorHAnsi" w:cstheme="majorHAnsi"/>
          <w:color w:val="3366FF"/>
        </w:rPr>
        <w:t>(</w:t>
      </w:r>
      <w:r w:rsidR="00D92E2D" w:rsidRPr="00F61D5E">
        <w:rPr>
          <w:rFonts w:asciiTheme="majorHAnsi" w:hAnsiTheme="majorHAnsi" w:cstheme="majorHAnsi"/>
          <w:color w:val="3366FF"/>
        </w:rPr>
        <w:t>CA Fort-de-France, ch. civ., 25 févr. 2011, n° 09/00246</w:t>
      </w:r>
      <w:r w:rsidR="009D6A40" w:rsidRPr="00F61D5E">
        <w:rPr>
          <w:rFonts w:asciiTheme="majorHAnsi" w:hAnsiTheme="majorHAnsi" w:cstheme="majorHAnsi"/>
          <w:color w:val="3366FF"/>
        </w:rPr>
        <w:t xml:space="preserve">, </w:t>
      </w:r>
      <w:r w:rsidR="003347CD" w:rsidRPr="00F61D5E">
        <w:rPr>
          <w:rFonts w:asciiTheme="majorHAnsi" w:hAnsiTheme="majorHAnsi" w:cstheme="majorHAnsi"/>
          <w:bCs/>
          <w:color w:val="3366FF"/>
        </w:rPr>
        <w:t>Catastrophe aérienne et préjudices réparables</w:t>
      </w:r>
      <w:r w:rsidR="00B0130B" w:rsidRPr="00F61D5E">
        <w:rPr>
          <w:rFonts w:asciiTheme="majorHAnsi" w:hAnsiTheme="majorHAnsi" w:cstheme="majorHAnsi"/>
          <w:bCs/>
          <w:color w:val="3366FF"/>
        </w:rPr>
        <w:t xml:space="preserve">, JCP G n° 42, 17 Octobre 2011, 1118, </w:t>
      </w:r>
      <w:r w:rsidR="000B43C1" w:rsidRPr="00F61D5E">
        <w:rPr>
          <w:rFonts w:asciiTheme="majorHAnsi" w:hAnsiTheme="majorHAnsi" w:cstheme="majorHAnsi"/>
          <w:bCs/>
          <w:color w:val="3366FF"/>
        </w:rPr>
        <w:t>L.</w:t>
      </w:r>
      <w:r w:rsidR="003347CD" w:rsidRPr="00F61D5E">
        <w:rPr>
          <w:rFonts w:asciiTheme="majorHAnsi" w:hAnsiTheme="majorHAnsi" w:cstheme="majorHAnsi"/>
          <w:bCs/>
          <w:color w:val="3366FF"/>
        </w:rPr>
        <w:t xml:space="preserve"> de Graëve</w:t>
      </w:r>
      <w:r w:rsidR="009D6A40" w:rsidRPr="00F61D5E">
        <w:rPr>
          <w:rFonts w:asciiTheme="majorHAnsi" w:hAnsiTheme="majorHAnsi" w:cstheme="majorHAnsi"/>
          <w:bCs/>
          <w:color w:val="3366FF"/>
        </w:rPr>
        <w:t>)</w:t>
      </w:r>
      <w:r w:rsidR="009D6A40" w:rsidRPr="00F61D5E">
        <w:rPr>
          <w:rFonts w:asciiTheme="majorHAnsi" w:hAnsiTheme="majorHAnsi" w:cstheme="majorHAnsi"/>
          <w:bCs/>
        </w:rPr>
        <w:t>.</w:t>
      </w:r>
    </w:p>
    <w:p w14:paraId="01532298" w14:textId="2721A22D" w:rsidR="00954604" w:rsidRPr="00F61D5E" w:rsidRDefault="00D92E2D" w:rsidP="0061145A">
      <w:pPr>
        <w:widowControl w:val="0"/>
        <w:autoSpaceDE w:val="0"/>
        <w:autoSpaceDN w:val="0"/>
        <w:adjustRightInd w:val="0"/>
        <w:spacing w:after="240"/>
        <w:rPr>
          <w:rFonts w:asciiTheme="majorHAnsi" w:hAnsiTheme="majorHAnsi" w:cstheme="majorHAnsi"/>
          <w:color w:val="000000" w:themeColor="text1"/>
        </w:rPr>
      </w:pPr>
      <w:r w:rsidRPr="00F61D5E">
        <w:rPr>
          <w:rFonts w:asciiTheme="majorHAnsi" w:hAnsiTheme="majorHAnsi" w:cstheme="majorHAnsi"/>
          <w:color w:val="000000" w:themeColor="text1"/>
        </w:rPr>
        <w:t>S’agissant de la</w:t>
      </w:r>
      <w:r w:rsidR="006C4BCD" w:rsidRPr="00F61D5E">
        <w:rPr>
          <w:rFonts w:asciiTheme="majorHAnsi" w:hAnsiTheme="majorHAnsi" w:cstheme="majorHAnsi"/>
          <w:color w:val="000000" w:themeColor="text1"/>
        </w:rPr>
        <w:t xml:space="preserve"> transmissibilité </w:t>
      </w:r>
      <w:r w:rsidR="00954604" w:rsidRPr="00F61D5E">
        <w:rPr>
          <w:rFonts w:asciiTheme="majorHAnsi" w:hAnsiTheme="majorHAnsi" w:cstheme="majorHAnsi"/>
          <w:color w:val="000000" w:themeColor="text1"/>
        </w:rPr>
        <w:t>des</w:t>
      </w:r>
      <w:r w:rsidRPr="00F61D5E">
        <w:rPr>
          <w:rFonts w:asciiTheme="majorHAnsi" w:hAnsiTheme="majorHAnsi" w:cstheme="majorHAnsi"/>
          <w:color w:val="000000" w:themeColor="text1"/>
        </w:rPr>
        <w:t xml:space="preserve"> préjudice</w:t>
      </w:r>
      <w:r w:rsidR="00954604" w:rsidRPr="00F61D5E">
        <w:rPr>
          <w:rFonts w:asciiTheme="majorHAnsi" w:hAnsiTheme="majorHAnsi" w:cstheme="majorHAnsi"/>
          <w:color w:val="000000" w:themeColor="text1"/>
        </w:rPr>
        <w:t>s</w:t>
      </w:r>
      <w:r w:rsidRPr="00F61D5E">
        <w:rPr>
          <w:rFonts w:asciiTheme="majorHAnsi" w:hAnsiTheme="majorHAnsi" w:cstheme="majorHAnsi"/>
          <w:color w:val="000000" w:themeColor="text1"/>
        </w:rPr>
        <w:t xml:space="preserve">, </w:t>
      </w:r>
      <w:r w:rsidR="00954604" w:rsidRPr="00F61D5E">
        <w:rPr>
          <w:rFonts w:asciiTheme="majorHAnsi" w:hAnsiTheme="majorHAnsi" w:cstheme="majorHAnsi"/>
          <w:color w:val="000000" w:themeColor="text1"/>
        </w:rPr>
        <w:t>il est admis que le droit à réparation des souffrances physiques et/ou morales endurées par la victime entre l’accident et son décès, qui est né dans son patrimoine, se transmet à ses héritiers</w:t>
      </w:r>
      <w:r w:rsidR="00F61D5E">
        <w:rPr>
          <w:rFonts w:asciiTheme="majorHAnsi" w:hAnsiTheme="majorHAnsi" w:cstheme="majorHAnsi"/>
          <w:color w:val="000000" w:themeColor="text1"/>
        </w:rPr>
        <w:t xml:space="preserve"> </w:t>
      </w:r>
      <w:r w:rsidR="00F414E0" w:rsidRPr="00F61D5E">
        <w:rPr>
          <w:rFonts w:asciiTheme="majorHAnsi" w:hAnsiTheme="majorHAnsi" w:cstheme="majorHAnsi"/>
          <w:color w:val="000000" w:themeColor="text1"/>
        </w:rPr>
        <w:t>(</w:t>
      </w:r>
      <w:r w:rsidR="00987404" w:rsidRPr="00F61D5E">
        <w:rPr>
          <w:rFonts w:asciiTheme="majorHAnsi" w:hAnsiTheme="majorHAnsi" w:cstheme="majorHAnsi"/>
          <w:color w:val="3366FF"/>
        </w:rPr>
        <w:t>Ch. Mixte 30 avril 1976, bull. civ. N°2 &amp; 3 ;</w:t>
      </w:r>
      <w:r w:rsidR="00F414E0" w:rsidRPr="00F61D5E">
        <w:rPr>
          <w:rFonts w:asciiTheme="majorHAnsi" w:hAnsiTheme="majorHAnsi" w:cstheme="majorHAnsi"/>
          <w:color w:val="3366FF"/>
        </w:rPr>
        <w:t xml:space="preserve"> pour une même solution en droit administratif, CE 29 ma</w:t>
      </w:r>
      <w:r w:rsidR="0061145A" w:rsidRPr="00F61D5E">
        <w:rPr>
          <w:rFonts w:asciiTheme="majorHAnsi" w:hAnsiTheme="majorHAnsi" w:cstheme="majorHAnsi"/>
          <w:color w:val="3366FF"/>
        </w:rPr>
        <w:t xml:space="preserve">rs 2000, Assistance publique- </w:t>
      </w:r>
      <w:r w:rsidR="00997427" w:rsidRPr="00F61D5E">
        <w:rPr>
          <w:rFonts w:asciiTheme="majorHAnsi" w:hAnsiTheme="majorHAnsi" w:cstheme="majorHAnsi"/>
        </w:rPr>
        <w:t>H</w:t>
      </w:r>
      <w:r w:rsidR="0061145A" w:rsidRPr="00F61D5E">
        <w:rPr>
          <w:rFonts w:asciiTheme="majorHAnsi" w:hAnsiTheme="majorHAnsi" w:cstheme="majorHAnsi"/>
        </w:rPr>
        <w:t>ô</w:t>
      </w:r>
      <w:r w:rsidR="00F414E0" w:rsidRPr="00F61D5E">
        <w:rPr>
          <w:rFonts w:asciiTheme="majorHAnsi" w:hAnsiTheme="majorHAnsi" w:cstheme="majorHAnsi"/>
        </w:rPr>
        <w:t>pi</w:t>
      </w:r>
      <w:r w:rsidR="00F414E0" w:rsidRPr="00F61D5E">
        <w:rPr>
          <w:rFonts w:asciiTheme="majorHAnsi" w:hAnsiTheme="majorHAnsi" w:cstheme="majorHAnsi"/>
          <w:color w:val="3366FF"/>
        </w:rPr>
        <w:t>taux</w:t>
      </w:r>
      <w:r w:rsidR="0061145A" w:rsidRPr="00F61D5E">
        <w:rPr>
          <w:rFonts w:asciiTheme="majorHAnsi" w:hAnsiTheme="majorHAnsi" w:cstheme="majorHAnsi"/>
          <w:color w:val="3366FF"/>
        </w:rPr>
        <w:t xml:space="preserve"> de P</w:t>
      </w:r>
      <w:r w:rsidR="00987404" w:rsidRPr="00F61D5E">
        <w:rPr>
          <w:rFonts w:asciiTheme="majorHAnsi" w:hAnsiTheme="majorHAnsi" w:cstheme="majorHAnsi"/>
          <w:color w:val="3366FF"/>
        </w:rPr>
        <w:t>aris, D. 2000, juris.p. 563</w:t>
      </w:r>
      <w:r w:rsidR="00F414E0" w:rsidRPr="00F61D5E">
        <w:rPr>
          <w:rFonts w:asciiTheme="majorHAnsi" w:hAnsiTheme="majorHAnsi" w:cstheme="majorHAnsi"/>
          <w:color w:val="3366FF"/>
        </w:rPr>
        <w:t xml:space="preserve">, </w:t>
      </w:r>
      <w:r w:rsidR="00987404" w:rsidRPr="00F61D5E">
        <w:rPr>
          <w:rFonts w:asciiTheme="majorHAnsi" w:hAnsiTheme="majorHAnsi" w:cstheme="majorHAnsi"/>
          <w:color w:val="3366FF"/>
        </w:rPr>
        <w:t>note A. Bourel)</w:t>
      </w:r>
      <w:r w:rsidR="00954604" w:rsidRPr="00F61D5E">
        <w:rPr>
          <w:rFonts w:asciiTheme="majorHAnsi" w:hAnsiTheme="majorHAnsi" w:cstheme="majorHAnsi"/>
          <w:color w:val="000000" w:themeColor="text1"/>
        </w:rPr>
        <w:t xml:space="preserve">. Cette solution dégagée dans le cadre de l’indemnisation du </w:t>
      </w:r>
      <w:r w:rsidR="00954604" w:rsidRPr="00F61D5E">
        <w:rPr>
          <w:rFonts w:asciiTheme="majorHAnsi" w:hAnsiTheme="majorHAnsi" w:cstheme="majorHAnsi"/>
          <w:i/>
          <w:color w:val="000000" w:themeColor="text1"/>
        </w:rPr>
        <w:t>pretium doloris</w:t>
      </w:r>
      <w:r w:rsidR="00954604" w:rsidRPr="00F61D5E">
        <w:rPr>
          <w:rFonts w:asciiTheme="majorHAnsi" w:hAnsiTheme="majorHAnsi" w:cstheme="majorHAnsi"/>
          <w:color w:val="000000" w:themeColor="text1"/>
        </w:rPr>
        <w:t xml:space="preserve"> est transposée concernant le préjudice de vie abrégée. On ne peut qu’approuver une telle solution. En effet, contrairement à ce que soutenait le demandeur au pourvoi, le préjudice d’angoisse d’une mort imminente </w:t>
      </w:r>
      <w:r w:rsidR="007C078F" w:rsidRPr="00F61D5E">
        <w:rPr>
          <w:rFonts w:asciiTheme="majorHAnsi" w:hAnsiTheme="majorHAnsi" w:cstheme="majorHAnsi"/>
          <w:color w:val="000000" w:themeColor="text1"/>
        </w:rPr>
        <w:t>ne se réalise pas au moment de la mort de la victime mais au contraire avant celle-ci, de sorte qu’un droit à indemnité entre dans son patrimoine de son vivant. La victime était</w:t>
      </w:r>
      <w:r w:rsidR="00987404" w:rsidRPr="00F61D5E">
        <w:rPr>
          <w:rFonts w:asciiTheme="majorHAnsi" w:hAnsiTheme="majorHAnsi" w:cstheme="majorHAnsi"/>
          <w:color w:val="000000" w:themeColor="text1"/>
        </w:rPr>
        <w:t xml:space="preserve"> ainsi</w:t>
      </w:r>
      <w:r w:rsidR="007C078F" w:rsidRPr="00F61D5E">
        <w:rPr>
          <w:rFonts w:asciiTheme="majorHAnsi" w:hAnsiTheme="majorHAnsi" w:cstheme="majorHAnsi"/>
          <w:color w:val="000000" w:themeColor="text1"/>
        </w:rPr>
        <w:t xml:space="preserve"> bel et bien devenue détentrice d'une créance de réparation transmissible aux héritiers.</w:t>
      </w:r>
    </w:p>
    <w:p w14:paraId="7F16FBFE" w14:textId="77777777" w:rsidR="00284C07" w:rsidRPr="00F61D5E" w:rsidRDefault="00284C07" w:rsidP="00284C07">
      <w:pPr>
        <w:widowControl w:val="0"/>
        <w:autoSpaceDE w:val="0"/>
        <w:autoSpaceDN w:val="0"/>
        <w:adjustRightInd w:val="0"/>
        <w:spacing w:after="240"/>
        <w:jc w:val="right"/>
        <w:rPr>
          <w:rFonts w:asciiTheme="majorHAnsi" w:hAnsiTheme="majorHAnsi" w:cstheme="majorHAnsi"/>
          <w:color w:val="000000" w:themeColor="text1"/>
        </w:rPr>
      </w:pPr>
    </w:p>
    <w:p w14:paraId="6D62C64E" w14:textId="77777777" w:rsidR="00C922EB" w:rsidRPr="00F61D5E" w:rsidRDefault="00C922EB" w:rsidP="00C922EB">
      <w:pPr>
        <w:rPr>
          <w:rFonts w:asciiTheme="majorHAnsi" w:hAnsiTheme="majorHAnsi" w:cstheme="majorHAnsi"/>
        </w:rPr>
      </w:pPr>
    </w:p>
    <w:sectPr w:rsidR="00C922EB" w:rsidRPr="00F61D5E" w:rsidSect="00370857">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0137D" w14:textId="77777777" w:rsidR="00B8181B" w:rsidRDefault="00B8181B" w:rsidP="003347CD">
      <w:pPr>
        <w:spacing w:after="0"/>
      </w:pPr>
      <w:r>
        <w:separator/>
      </w:r>
    </w:p>
  </w:endnote>
  <w:endnote w:type="continuationSeparator" w:id="0">
    <w:p w14:paraId="43C48A89" w14:textId="77777777" w:rsidR="00B8181B" w:rsidRDefault="00B8181B" w:rsidP="003347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07BDC" w14:textId="77777777" w:rsidR="00B8181B" w:rsidRDefault="00B8181B" w:rsidP="003347CD">
      <w:pPr>
        <w:spacing w:after="0"/>
      </w:pPr>
      <w:r>
        <w:separator/>
      </w:r>
    </w:p>
  </w:footnote>
  <w:footnote w:type="continuationSeparator" w:id="0">
    <w:p w14:paraId="2F80A595" w14:textId="77777777" w:rsidR="00B8181B" w:rsidRDefault="00B8181B" w:rsidP="003347C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857"/>
    <w:rsid w:val="000B032A"/>
    <w:rsid w:val="000B43C1"/>
    <w:rsid w:val="00137A8F"/>
    <w:rsid w:val="001410DB"/>
    <w:rsid w:val="001D306E"/>
    <w:rsid w:val="00233ABA"/>
    <w:rsid w:val="00284C07"/>
    <w:rsid w:val="003347CD"/>
    <w:rsid w:val="0036128C"/>
    <w:rsid w:val="00370857"/>
    <w:rsid w:val="00421161"/>
    <w:rsid w:val="004D2C93"/>
    <w:rsid w:val="0050206C"/>
    <w:rsid w:val="00543B80"/>
    <w:rsid w:val="0056591A"/>
    <w:rsid w:val="005A6CD3"/>
    <w:rsid w:val="0061145A"/>
    <w:rsid w:val="006C4BCD"/>
    <w:rsid w:val="007C078F"/>
    <w:rsid w:val="007D3DEA"/>
    <w:rsid w:val="008168AE"/>
    <w:rsid w:val="008F56C3"/>
    <w:rsid w:val="00922EA2"/>
    <w:rsid w:val="00954604"/>
    <w:rsid w:val="00987404"/>
    <w:rsid w:val="00997427"/>
    <w:rsid w:val="009D6A40"/>
    <w:rsid w:val="00AA6F28"/>
    <w:rsid w:val="00AB1051"/>
    <w:rsid w:val="00B0130B"/>
    <w:rsid w:val="00B8181B"/>
    <w:rsid w:val="00C922EB"/>
    <w:rsid w:val="00C93305"/>
    <w:rsid w:val="00D0587E"/>
    <w:rsid w:val="00D42E2A"/>
    <w:rsid w:val="00D737C5"/>
    <w:rsid w:val="00D92E2D"/>
    <w:rsid w:val="00F414E0"/>
    <w:rsid w:val="00F61D5E"/>
    <w:rsid w:val="00FF517F"/>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23FB65"/>
  <w15:docId w15:val="{48659C3B-0981-0E46-92BE-9F87140F8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70857"/>
    <w:pPr>
      <w:spacing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70857"/>
    <w:rPr>
      <w:rFonts w:ascii="Lucida Grande" w:hAnsi="Lucida Grande" w:cs="Lucida Grande"/>
      <w:sz w:val="18"/>
      <w:szCs w:val="18"/>
    </w:rPr>
  </w:style>
  <w:style w:type="character" w:styleId="lev">
    <w:name w:val="Strong"/>
    <w:basedOn w:val="Policepardfaut"/>
    <w:qFormat/>
    <w:rsid w:val="00370857"/>
    <w:rPr>
      <w:b/>
      <w:bCs/>
    </w:rPr>
  </w:style>
  <w:style w:type="character" w:styleId="Appelnotedebasdep">
    <w:name w:val="footnote reference"/>
    <w:basedOn w:val="Policepardfaut"/>
    <w:semiHidden/>
    <w:rsid w:val="003347CD"/>
    <w:rPr>
      <w:vertAlign w:val="superscript"/>
    </w:rPr>
  </w:style>
  <w:style w:type="paragraph" w:styleId="Notedebasdepage">
    <w:name w:val="footnote text"/>
    <w:basedOn w:val="Normal"/>
    <w:link w:val="NotedebasdepageCar"/>
    <w:autoRedefine/>
    <w:semiHidden/>
    <w:rsid w:val="003347CD"/>
    <w:pPr>
      <w:spacing w:after="0"/>
      <w:ind w:firstLine="397"/>
      <w:jc w:val="both"/>
    </w:pPr>
    <w:rPr>
      <w:rFonts w:ascii="Times" w:eastAsia="Times New Roman" w:hAnsi="Times" w:cs="Times New Roman"/>
      <w:iCs/>
      <w:snapToGrid w:val="0"/>
      <w:sz w:val="20"/>
      <w:szCs w:val="18"/>
      <w:lang w:eastAsia="fr-FR"/>
    </w:rPr>
  </w:style>
  <w:style w:type="character" w:customStyle="1" w:styleId="NotedebasdepageCar">
    <w:name w:val="Note de bas de page Car"/>
    <w:basedOn w:val="Policepardfaut"/>
    <w:link w:val="Notedebasdepage"/>
    <w:rsid w:val="003347CD"/>
    <w:rPr>
      <w:rFonts w:ascii="Times" w:eastAsia="Times New Roman" w:hAnsi="Times" w:cs="Times New Roman"/>
      <w:iCs/>
      <w:snapToGrid w:val="0"/>
      <w:sz w:val="20"/>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789</Words>
  <Characters>4340</Characters>
  <Application>Microsoft Office Word</Application>
  <DocSecurity>0</DocSecurity>
  <Lines>36</Lines>
  <Paragraphs>10</Paragraphs>
  <ScaleCrop>false</ScaleCrop>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dc:creator>
  <cp:keywords/>
  <dc:description/>
  <cp:lastModifiedBy>Nathalie Arbousset</cp:lastModifiedBy>
  <cp:revision>3</cp:revision>
  <dcterms:created xsi:type="dcterms:W3CDTF">2024-12-13T10:33:00Z</dcterms:created>
  <dcterms:modified xsi:type="dcterms:W3CDTF">2024-12-19T09:55:00Z</dcterms:modified>
</cp:coreProperties>
</file>